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dds" ContentType="image/vnd-ms.dds"/>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xmlns:tx26="http://schemas.textcontrol.com/tx/2600" mc:Ignorable="w14 w15 tx19 tx23 tx26">
  <w:body>
    <w:p>
      <w:pPr>
        <w:pStyle w:val="[Normal]"/>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 name="_tx_id_1_"/>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00003"/>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spacing w:after="56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color="auto" w:fill="auto"/>
            <w:vAlign w:val="top"/>
          </w:tcPr>
          <w:p>
            <w:pPr>
              <w:pStyle w:val="[Normal]"/>
              <w:jc w:val="center"/>
              <w:rPr>
                <w:b/>
                <w:lang w:val="de-DE" w:eastAsia="de-DE" w:bidi="de-DE"/>
              </w:rPr>
            </w:pPr>
            <w:r>
              <w:rPr>
                <w:b/>
                <w:lang w:val="de-DE" w:eastAsia="de-DE" w:bidi="de-DE"/>
              </w:rPr>
              <w:t xml:space="preserve">Inhaltsverzeichnis</w:t>
            </w:r>
          </w:p>
        </w:tc>
        <w:tc>
          <w:tcPr>
            <w:tcW w:w="4" w:type="dxa"/>
            <w:shd w:val="clear" w:color="auto" w:fill="auto"/>
            <w:vAlign w:val="top"/>
          </w:tcPr>
          <w:p>
            <w:pPr>
              <w:pStyle w:val="[Normal]"/>
              <w:rPr>
                <w:lang w:val="de-DE" w:eastAsia="de-DE" w:bidi="de-DE"/>
              </w:rPr>
            </w:pPr>
          </w:p>
        </w:tc>
      </w:tr>
    </w:tbl>
    <w:p>
      <w:pPr>
        <w:pStyle w:val="[Normal]"/>
        <w:spacing w:after="283"/>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Produktgruppe 1 Rohbau......................................................................</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1.1</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Produkte BM; BM-P; BM-T10; BM-V10..................................................</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1</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1.2</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M4..............................................................................................</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3</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1.3</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B 10...........................................................................................</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4</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1.4</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B 12...........................................................................................</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5</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1.5</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B 14...........................................................................................</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6</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1.6</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B 16...........................................................................................</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7</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1.7</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AM 100......................................................................................</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8</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648"/>
        <w:gridCol w:w="6"/>
        <w:gridCol w:w="1128"/>
      </w:tblGrid>
      <w:tr>
        <w:tc>
          <w:tcPr>
            <w:tcW w:w="1695" w:type="dxa"/>
            <w:shd w:val="clear" w:color="auto" w:fill="auto"/>
            <w:vAlign w:val="top"/>
          </w:tcPr>
          <w:p>
            <w:pPr>
              <w:pStyle w:val="[Normal]"/>
              <w:rPr>
                <w:b/>
                <w:lang w:val="de-DE" w:eastAsia="de-DE" w:bidi="de-DE"/>
              </w:rPr>
            </w:pPr>
            <w:r>
              <w:rPr>
                <w:b/>
                <w:lang w:val="de-DE" w:eastAsia="de-DE" w:bidi="de-DE"/>
              </w:rPr>
              <w:t xml:space="preserve">1.8</w:t>
            </w:r>
          </w:p>
        </w:tc>
        <w:tc>
          <w:tcPr>
            <w:tcW w:w="11" w:type="dxa"/>
            <w:shd w:val="clear" w:color="auto" w:fill="auto"/>
            <w:vAlign w:val="top"/>
          </w:tcPr>
          <w:p>
            <w:pPr>
              <w:pStyle w:val="[Normal]"/>
              <w:rPr>
                <w:sz w:val="20"/>
                <w:lang w:val="de-DE" w:eastAsia="de-DE" w:bidi="de-DE"/>
              </w:rPr>
            </w:pPr>
          </w:p>
        </w:tc>
        <w:tc>
          <w:tcPr>
            <w:tcW w:w="7648" w:type="dxa"/>
            <w:shd w:val="clear" w:color="auto" w:fill="auto"/>
            <w:vAlign w:val="top"/>
          </w:tcPr>
          <w:p>
            <w:pPr>
              <w:pStyle w:val="[Normal]"/>
              <w:rPr>
                <w:b/>
              </w:rPr>
            </w:pPr>
            <w:r>
              <w:rPr>
                <w:b/>
              </w:rPr>
              <w:t xml:space="preserve">Produkt AR 300.......................................................................................</w:t>
            </w:r>
          </w:p>
        </w:tc>
        <w:tc>
          <w:tcPr>
            <w:tcW w:w="6" w:type="dxa"/>
            <w:shd w:val="clear" w:color="auto" w:fill="auto"/>
            <w:vAlign w:val="top"/>
          </w:tcPr>
          <w:p>
            <w:pPr>
              <w:pStyle w:val="[Normal]"/>
              <w:rPr>
                <w:sz w:val="20"/>
                <w:lang w:val="de-DE" w:eastAsia="de-DE" w:bidi="de-DE"/>
              </w:rPr>
            </w:pPr>
          </w:p>
        </w:tc>
        <w:tc>
          <w:tcPr>
            <w:tcW w:w="1128" w:type="dxa"/>
            <w:shd w:val="clear" w:color="auto" w:fill="auto"/>
            <w:vAlign w:val="top"/>
          </w:tcPr>
          <w:p>
            <w:pPr>
              <w:pStyle w:val="[Normal]"/>
              <w:jc w:val="right"/>
              <w:rPr>
                <w:sz w:val="20"/>
                <w:lang w:val="de-DE" w:eastAsia="de-DE" w:bidi="de-DE"/>
              </w:rPr>
            </w:pPr>
            <w:r>
              <w:rPr>
                <w:sz w:val="20"/>
                <w:lang w:val="de-DE" w:eastAsia="de-DE" w:bidi="de-DE"/>
              </w:rPr>
              <w:t xml:space="preserve">9</w:t>
            </w:r>
          </w:p>
        </w:tc>
      </w:tr>
    </w:tbl>
    <w:p>
      <w:pPr>
        <w:pStyle w:val="[Normal]"/>
        <w:spacing w:before="8328"/>
        <w:rPr>
          <w:sz w:val="2"/>
          <w:lang w:val="de-DE" w:eastAsia="de-DE" w:bidi="de-DE"/>
        </w:rPr>
      </w:pPr>
      <w:r>
        <w:rPr>
          <w:sz w:val="2"/>
          <w:lang w:val="de-DE" w:eastAsia="de-DE" w:bidi="de-DE"/>
        </w:rPr>
        <w:t xml:space="preserve">   </w:t>
      </w:r>
    </w:p>
    <w:tbl>
      <w:tblPr>
        <w:tblW w:w="0" w:type="auto"/>
        <w:jc w:val="left"/>
        <w:tblInd w:w="0" w:type="dxa"/>
        <w:tblBorders>
          <w:top w:val="single" w:sz="2"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2" name="_tx_id_2_"/>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0000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1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1</w:t>
            </w:r>
          </w:p>
        </w:tc>
        <w:tc>
          <w:tcPr>
            <w:tcW w:w="1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Produktgruppe 1 Rohbau</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1.1</w:t>
            </w:r>
          </w:p>
        </w:tc>
        <w:tc>
          <w:tcPr>
            <w:tcW w:w="1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Produkte BM; BM-P; BM-T10; BM-V10</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1.1.1</w:t>
            </w:r>
          </w:p>
        </w:tc>
        <w:tc>
          <w:tcPr>
            <w:tcW w:w="1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Bauwerksabdichtung gemäß DIN 18533, Teil 1 + 2</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Liefern und fachgerechtes Aufbringen einer vollflächigen, mit dem Untergrund verbundenen Bitumenkaltselbstklebebah</w:t>
            </w:r>
            <w:r>
              <w:rPr>
                <w:b w:val="off"/>
                <w:color w:val="000000"/>
                <w:lang w:val="de-DE" w:eastAsia="de-DE" w:bidi="de-DE"/>
              </w:rPr>
              <w:t xml:space="preserve">n aus reißfester sowie rissüberbrückender Dichtungsbahn aus kunststoffmodifiziertem Bitumen mit HDPE Trägerfolie gemäß DIN 18533, Teil 1 + 2, gegen Bodenfeuchte, nichtstauendes Sickerwas</w:t>
            </w:r>
            <w:r>
              <w:rPr>
                <w:b w:val="off"/>
                <w:lang w:val="de-DE" w:eastAsia="de-DE" w:bidi="de-DE"/>
              </w:rPr>
              <w:t xml:space="preserve">ser und nichtdrückendes Wasser und als Abdichtung gegen kapillar aufsteigende Feuchtigkeit und Wasserdampfbremse im Bodenbereich unter Estrichen und Rüttelböden. Die Einbau ist gemäß den Technischen Richtlinien des Herstellers sorgfältig, inklusive aller zugehörigen Systemprodukte, auszuführen. </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Die Randbereiche sind bis OK des gesamten Fußbodenaufbaus auszuführen.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 Kaltselbstklebebahn (KSK)</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BM-P KSK Primer</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BM-T10 Verschweißungsband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oder gleichwertig	Fabrikat / Typ: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BM-V10 Vlieskaschiertes Putzträgerband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1" w:name="LT_143571"/>
      <w:bookmarkEnd w:id="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1.1.2</w:t>
            </w:r>
          </w:p>
        </w:tc>
        <w:tc>
          <w:tcPr>
            <w:tcW w:w="1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Vorbereiten von saugfähigen Untergründen mit Systemgrundierung für KSK-Bahn</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Aufbringen der schnell-trocknenden Systemgrundierung für die bituminöse Kaltselbstklebebahn auf saugfähigen Untergründen (wie Beton und Zementestrich). Dabei ist Pfützenbildung zu vermeiden. Vor den Folgearbeiten ist die Grundierung vollständig trocknen zu lassen.</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BM-P KSK Primer</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2" w:name="LT_143572"/>
      <w:bookmarkEnd w:id="2"/>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1.1.3</w:t>
            </w:r>
          </w:p>
        </w:tc>
        <w:tc>
          <w:tcPr>
            <w:tcW w:w="1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Verschweißungsband T10</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Herstellen der Andichtung an XXXXXXXXX mit System-Verschweißungsband</w:t>
            </w:r>
            <w:r>
              <w:rPr>
                <w:b w:val="off"/>
                <w:color w:val="000000"/>
                <w:lang w:val="de-DE" w:eastAsia="de-DE" w:bidi="de-DE"/>
              </w:rPr>
              <w:t xml:space="preserve"> aus rissüberbrückendem und kunststoffmodifiziertem Bitumen.</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Die Einbau ist gemäß den Technischen Richtlinien des Herstellers sorgfältig, inklusive aller zugehörigen Systemprodukte, auszuführen.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Normal]"/>
        <w:spacing w:before="582"/>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r>
              <w:rPr>
                <w:b/>
                <w:sz w:val="20"/>
                <w:lang w:val="de-DE" w:eastAsia="de-DE" w:bidi="de-DE"/>
              </w:rPr>
              <w:t xml:space="preserve">Übertrag: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3" name="_tx_id_3_"/>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00005"/>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2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r>
              <w:rPr>
                <w:b/>
                <w:sz w:val="20"/>
                <w:lang w:val="de-DE" w:eastAsia="de-DE" w:bidi="de-DE"/>
              </w:rPr>
              <w:t xml:space="preserve">Übertrag: ....................</w:t>
            </w:r>
          </w:p>
        </w:tc>
      </w:tr>
    </w:tbl>
    <w:p>
      <w:pPr>
        <w:pStyle w:val="[Normal]"/>
        <w:rPr>
          <w:b/>
          <w:sz w:val="2"/>
          <w:lang w:val="de-DE" w:eastAsia="de-DE" w:bidi="de-DE"/>
        </w:rPr>
      </w:pPr>
      <w:r>
        <w:rPr>
          <w:b/>
          <w:sz w:val="2"/>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BM-T10 Verschweißungsband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3" w:name="LT_143573"/>
      <w:bookmarkEnd w:id="3"/>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lang w:val="de-DE" w:eastAsia="de-DE" w:bidi="de-DE"/>
              </w:rPr>
            </w:pPr>
            <w:r>
              <w:rPr>
                <w:b/>
                <w:sz w:val="20"/>
                <w:lang w:val="de-DE" w:eastAsia="de-DE" w:bidi="de-DE"/>
              </w:rPr>
              <w:t xml:space="preserve">1.1.4</w:t>
            </w:r>
          </w:p>
        </w:tc>
        <w:tc>
          <w:tcPr>
            <w:tcW w:w="1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Herstellen der Randbereiche mit Putzträgerband</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Herstellen der aufgehenden Randbereiche zum Anschluss der Verbundabdichtung mit System-Putzträgerband</w:t>
            </w:r>
            <w:r>
              <w:rPr>
                <w:b w:val="off"/>
                <w:color w:val="000000"/>
                <w:lang w:val="de-DE" w:eastAsia="de-DE" w:bidi="de-DE"/>
              </w:rPr>
              <w:t xml:space="preserve"> aus vlieskaschiertem, reißfestem sowie rissüberbrückendem und kunststoffmodifiziertem Bitumen.</w:t>
            </w:r>
          </w:p>
        </w:tc>
        <w:tc>
          <w:tcPr>
            <w:tcW w:w="1700"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Die Einbau ist gemäß den Technischen Richtlinien des Herstellers sorgfältig, inklusive aller zugehörigen Systemprodukte, auszuführen.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BM-V10 Vlieskaschiertes Putzträgerband</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4" w:name="LT_143574"/>
      <w:bookmarkEnd w:id="4"/>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7081"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0"/>
                <w:lang w:val="de-DE" w:eastAsia="de-DE" w:bidi="de-DE"/>
              </w:rPr>
            </w:pPr>
            <w:r>
              <w:rPr>
                <w:b/>
                <w:sz w:val="20"/>
                <w:lang w:val="de-DE" w:eastAsia="de-DE" w:bidi="de-DE"/>
              </w:rPr>
              <w:t xml:space="preserve">1.1 Produkte BM; BM-P; BM-T10; BM-V10</w:t>
            </w:r>
          </w:p>
        </w:tc>
        <w:tc>
          <w:tcPr>
            <w:tcW w:w="6" w:type="dxa"/>
            <w:shd w:val="clear" w:color="auto" w:fill="auto"/>
            <w:vAlign w:val="top"/>
          </w:tcPr>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13"/>
        <w:rPr>
          <w:sz w:val="2"/>
          <w:lang w:val="de-DE" w:eastAsia="de-DE" w:bidi="de-DE"/>
        </w:rPr>
      </w:pPr>
      <w:r>
        <w:rPr>
          <w:sz w:val="2"/>
          <w:lang w:val="de-DE" w:eastAsia="de-DE" w:bidi="de-DE"/>
        </w:rPr>
        <w:t xml:space="preserve">   </w:t>
      </w:r>
    </w:p>
    <w:p>
      <w:pPr>
        <w:pStyle w:val="[Normal]"/>
        <w:spacing w:before="6718"/>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4" name="_tx_id_4_"/>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00006"/>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3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1.2</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M4</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1.2.1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Ausbessern und Reparieren von Bauteilen aus Beton und Stahlbeton sowie von Zementestrichen und Zementputzen</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Ausbessern von Betonteilen mit einem zementären, schnellerhärtenden Trockenmörtel auf Basis des Wittener Schnellzementes. Abbindebeginn nach 30 Minuten. Bauaufsichtlich zugelassen.</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M4 Schnellmörtel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5" w:name="LT_143576"/>
      <w:bookmarkEnd w:id="5"/>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1.2 Produkt M4</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88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5" name="_tx_id_5_"/>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00007"/>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4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1.3</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10</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1.3.1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Schließen von feinen Rissen und Poren in Betonoberflächen an Wand- und Deckenflächen, Außen und Innen</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Schließen von kleinen feinen Rissen und Poren in Betonoberflächen mit schnell erhärtender, zementgrauer, auf Null ausziehbarer sowie wasser- und wetterfester zementärer Spachtelmasse.</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Sehr Emissionsarm (EMICODE EC 1 Plus).</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B10 Beton-Feinspachtel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6" w:name="LT_143578"/>
      <w:bookmarkEnd w:id="6"/>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1.3 Produkt B 10</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88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6" name="_tx_id_6_"/>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00008"/>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5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1.4</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12</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1.4.1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Glätten, Ausbessern und Nivellieren von Wand- und Deckenflächen aus Sichtbeton, Außen und Innen</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Glätten und Auffüllen von kleineren Lunkern an Betonteilen mit zementärer, spannungsarmer, zementgrauer, atmungsfähiger, wasser- und wetterfester  Spachtelmasse.</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Sehr Emissionsarm (EMICODE EC 1 Plus).</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B12 Betonspachtel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7" w:name="LT_143580"/>
      <w:bookmarkEnd w:id="7"/>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1.4 Produkt B 12</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88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7" name="_tx_id_7_"/>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00009"/>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6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1.5</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14</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1.5.1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Ausbessern, Auffüllen und Glätten von Fehlstellen in tragenden Bauteilen aus Beton, Außen und Innen</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Ausbessern, Auffüllen und Glätten von Fehlstellen in tragenden Bauteilen aus Beton, mit schnell erhärtender, zementgrauer, sowie wasser- und wetterfester zementärer Spachtelmasse.</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Sehr Emissionsarm (EMICODE EC 1 Plus).</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B14 Beton-Reparaturmörtel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8" w:name="LT_143582"/>
      <w:bookmarkEnd w:id="8"/>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1.5 Produkt B 14</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881"/>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8" name="_tx_id_8_"/>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00010"/>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7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1.6</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B 16</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1.6.1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Ausbruchstellen Reprofilieren mit PCC-Mörtel</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Vorbereitete mattfeuchte Ausbruchstellen sowie freigelegte und entrostete Bewehrung vollflächig mit PCC-Mörtel einschlämmen und anschließend frisch in frisch mit einem zementgrauen und schwundarmen PCC-Instandsetzungsmörtel, zertifiziert nach EN 1504-3 und EN 1504-7, flächenbündig schließen. </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Die sanierten Flächen vor zu frühem Austrocknen schützen.</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Schichtdicke im Mittel ... mm</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B16 Betonreparaturmörtel mit Korrosionsschutz</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9" w:name="LT_143584"/>
      <w:bookmarkEnd w:id="9"/>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1.6 Produkt B 16</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7434"/>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9" name="_tx_id_9_"/>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00011"/>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8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1.7</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AM 100</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1.7.1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Gefälle- und Ausgleichsspachtelung unter großformatigen Fliesen und Platten im Innen-, Außen- und Unterwasserbereich</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Herstellen des erforderlichen Gefälles z. B. im Bereich der bodengleichen Dusche bzw. schließen von allgemeinen Lunkern- und Unebenheiten zum Erreichen der Ebenheitstoleranzen nach DIN 18202 mit hydraulisch erhärtendem, standfesten Ausgleichsmörtel in Schichtdicken von  5 - 50 mm. Material als Untergrund für das nachfolgende Verbundabdichtungssystem innerhalb der Ebenheitstoleranzen der DIN 18202 und der ZDB Fachinformation „Großformatige keramische Fliesen und Platten“ abziehen. Schichtdicke im Mittel ______mm. Gefälle _____%.</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AM 100 Ausgleichsmörtel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10" w:name="LT_143586"/>
      <w:bookmarkEnd w:id="10"/>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1.7 Produkt AM 100</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6969"/>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0" name="_tx_id_10_"/>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00012"/>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9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6"/>
                <w:lang w:val="de-DE" w:eastAsia="de-DE" w:bidi="de-DE"/>
              </w:rPr>
            </w:pPr>
            <w:r>
              <w:rPr>
                <w:sz w:val="6"/>
                <w:lang w:val="de-DE" w:eastAsia="de-DE" w:bidi="de-DE"/>
              </w:rPr>
              <w:t xml:space="preserve">                                                                                                                                                                                                                                                                                                                                                                                                                                                                                                                                                                                                                                   </w:t>
            </w: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2829"/>
        <w:gridCol w:w="6"/>
        <w:gridCol w:w="1412"/>
        <w:gridCol w:w="119"/>
        <w:gridCol w:w="1015"/>
        <w:gridCol w:w="5"/>
        <w:gridCol w:w="1695"/>
        <w:gridCol w:w="6"/>
        <w:gridCol w:w="1695"/>
      </w:tblGrid>
      <w:tr>
        <w:tc>
          <w:tcPr>
            <w:tcW w:w="169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Position</w:t>
            </w:r>
          </w:p>
        </w:tc>
        <w:tc>
          <w:tcPr>
            <w:tcW w:w="11" w:type="dxa"/>
            <w:tcBorders>
              <w:top w:val="nil"/>
              <w:bottom w:val="nil"/>
            </w:tcBorders>
            <w:shd w:val="clear" w:color="auto" w:fill="auto"/>
            <w:vAlign w:val="top"/>
          </w:tcPr>
          <w:p>
            <w:pPr>
              <w:pStyle w:val="[Normal]"/>
              <w:rPr>
                <w:sz w:val="20"/>
                <w:lang w:val="de-DE" w:eastAsia="de-DE" w:bidi="de-DE"/>
              </w:rPr>
            </w:pPr>
          </w:p>
        </w:tc>
        <w:tc>
          <w:tcPr>
            <w:tcW w:w="2829"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Beschreibung</w:t>
            </w:r>
          </w:p>
        </w:tc>
        <w:tc>
          <w:tcPr>
            <w:tcW w:w="6" w:type="dxa"/>
            <w:tcBorders>
              <w:top w:val="nil"/>
              <w:bottom w:val="nil"/>
            </w:tcBorders>
            <w:shd w:val="clear" w:color="auto" w:fill="auto"/>
            <w:vAlign w:val="top"/>
          </w:tcPr>
          <w:p>
            <w:pPr>
              <w:pStyle w:val="[Normal]"/>
              <w:rPr>
                <w:sz w:val="20"/>
                <w:lang w:val="de-DE" w:eastAsia="de-DE" w:bidi="de-DE"/>
              </w:rPr>
            </w:pPr>
          </w:p>
        </w:tc>
        <w:tc>
          <w:tcPr>
            <w:tcW w:w="1412"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Menge</w:t>
            </w:r>
          </w:p>
        </w:tc>
        <w:tc>
          <w:tcPr>
            <w:tcW w:w="119" w:type="dxa"/>
            <w:tcBorders>
              <w:top w:val="nil"/>
              <w:bottom w:val="nil"/>
            </w:tcBorders>
            <w:shd w:val="clear" w:color="auto" w:fill="auto"/>
            <w:vAlign w:val="top"/>
          </w:tcPr>
          <w:p>
            <w:pPr>
              <w:pStyle w:val="[Normal]"/>
              <w:rPr>
                <w:sz w:val="20"/>
                <w:lang w:val="de-DE" w:eastAsia="de-DE" w:bidi="de-DE"/>
              </w:rPr>
            </w:pPr>
          </w:p>
        </w:tc>
        <w:tc>
          <w:tcPr>
            <w:tcW w:w="1015" w:type="dxa"/>
            <w:tcBorders>
              <w:top w:val="nil"/>
              <w:bottom w:val="nil"/>
            </w:tcBorders>
            <w:shd w:val="clear" w:color="auto" w:fill="auto"/>
            <w:vAlign w:val="top"/>
          </w:tcPr>
          <w:p>
            <w:pPr>
              <w:pStyle w:val="[Normal]"/>
              <w:rPr>
                <w:b/>
                <w:sz w:val="20"/>
                <w:lang w:val="de-DE" w:eastAsia="de-DE" w:bidi="de-DE"/>
              </w:rPr>
            </w:pPr>
            <w:r>
              <w:rPr>
                <w:b/>
                <w:sz w:val="20"/>
                <w:lang w:val="de-DE" w:eastAsia="de-DE" w:bidi="de-DE"/>
              </w:rPr>
              <w:t xml:space="preserve">Einh</w:t>
            </w:r>
          </w:p>
        </w:tc>
        <w:tc>
          <w:tcPr>
            <w:tcW w:w="5"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EP</w:t>
            </w:r>
          </w:p>
        </w:tc>
        <w:tc>
          <w:tcPr>
            <w:tcW w:w="6" w:type="dxa"/>
            <w:tcBorders>
              <w:top w:val="nil"/>
              <w:bottom w:val="nil"/>
            </w:tcBorders>
            <w:shd w:val="clear" w:color="auto" w:fill="auto"/>
            <w:vAlign w:val="top"/>
          </w:tcPr>
          <w:p>
            <w:pPr>
              <w:pStyle w:val="[Normal]"/>
              <w:rPr>
                <w:sz w:val="20"/>
                <w:lang w:val="de-DE" w:eastAsia="de-DE" w:bidi="de-DE"/>
              </w:rPr>
            </w:pPr>
          </w:p>
        </w:tc>
        <w:tc>
          <w:tcPr>
            <w:tcW w:w="1695" w:type="dxa"/>
            <w:tcBorders>
              <w:top w:val="nil"/>
              <w:bottom w:val="nil"/>
            </w:tcBorders>
            <w:shd w:val="clear" w:color="auto" w:fill="auto"/>
            <w:vAlign w:val="top"/>
          </w:tcPr>
          <w:p>
            <w:pPr>
              <w:pStyle w:val="[Normal]"/>
              <w:jc w:val="right"/>
              <w:rPr>
                <w:b/>
                <w:sz w:val="20"/>
                <w:lang w:val="de-DE" w:eastAsia="de-DE" w:bidi="de-DE"/>
              </w:rPr>
            </w:pPr>
            <w:r>
              <w:rPr>
                <w:b/>
                <w:sz w:val="20"/>
                <w:lang w:val="de-DE" w:eastAsia="de-DE" w:bidi="de-DE"/>
              </w:rPr>
              <w:t xml:space="preserve">GP</w:t>
            </w:r>
          </w:p>
        </w:tc>
      </w:tr>
    </w:tbl>
    <w:tbl>
      <w:tblPr>
        <w:tblW w:w="0" w:type="auto"/>
        <w:jc w:val="left"/>
        <w:tblInd w:w="0" w:type="dxa"/>
        <w:tblBorders>
          <w:top w:val="single" w:sz="4" w:space="0" w:color="auto"/>
          <w:left w:val="none"/>
          <w:bottom w:val="none"/>
          <w:right w:val="none"/>
          <w:insideH w:val="none"/>
          <w:insideV w:val="none"/>
        </w:tblBorders>
        <w:tblLayout w:type="fixed"/>
        <w:tblCellMar>
          <w:top w:w="36" w:type="dxa"/>
          <w:left w:w="0" w:type="dxa"/>
          <w:bottom w:w="0" w:type="dxa"/>
          <w:right w:w="0" w:type="dxa"/>
        </w:tblCellMar>
      </w:tblPr>
      <w:tblGrid>
        <w:gridCol w:w="10483"/>
      </w:tblGrid>
      <w:tr>
        <w:tc>
          <w:tcPr>
            <w:tcW w:w="10483" w:type="dxa"/>
            <w:tcBorders>
              <w:top w:val="single" w:sz="4" w:space="0" w:color="auto"/>
            </w:tcBorders>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1.8</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Stufe"/>
              <w:rPr>
                <w:lang w:val="de-DE" w:eastAsia="de-DE" w:bidi="de-DE"/>
              </w:rPr>
            </w:pPr>
            <w:r>
              <w:rPr>
                <w:lang w:val="de-DE" w:eastAsia="de-DE" w:bidi="de-DE"/>
              </w:rPr>
              <w:t xml:space="preserve">Produkt AR 300</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1.8.1</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Gefälle- und Ausgleichsspachtelung unter großformatigen Fliesen und Platten im Innen- und Außenbereich</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Herstellen des erforderlichen Gefälles z. B. im Bereich der bodengleichen Dusche bzw. schließen von allgemeinen Lunkern- und Unebenheiten zum Erreichen der Ebenheitstoleranzen nach DIN 18202 mit hydraulisch erhärtendem, standfesten, emissionsarmen (EMICODE EC 1) und flexiblem Multimörtel, C1 TE nach DIN EN 12004 in den Schichtdicken von  2 - 30 mm. Material als Untergrund für das nachfolgende Verbundabdichtungssystem innerhalb der Ebenheitstoleranzen der DIN 18202 und der ZDB Fachinformation „Großformatige keramische Fliesen und Platten“ abziehen. Schichtdicke im Mittel ______mm. Gefälle _____%.</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AR 300 Multimörtel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11" w:name="LT_143588"/>
      <w:bookmarkEnd w:id="11"/>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7082"/>
        <w:gridCol w:w="1700"/>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1.8.2</w:t>
            </w:r>
          </w:p>
        </w:tc>
        <w:tc>
          <w:tcPr>
            <w:tcW w:w="11"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lang w:val="de-DE" w:eastAsia="de-DE" w:bidi="de-DE"/>
              </w:rPr>
              <w:t xml:space="preserve">Ausgleichen, Spachteln und Verputzen von Wandflächen</w:t>
            </w:r>
          </w:p>
        </w:tc>
        <w:tc>
          <w:tcPr>
            <w:tcW w:w="1700" w:type="dxa"/>
            <w:shd w:val="clear" w:color="auto" w:fill="auto"/>
            <w:vAlign w:val="top"/>
          </w:tcPr>
          <w:p>
            <w:pPr>
              <w:pStyle w:val="[Normal]"/>
              <w:rPr>
                <w:sz w:val="20"/>
                <w:lang w:val="de-DE" w:eastAsia="de-DE" w:bidi="de-DE"/>
              </w:rPr>
            </w:pPr>
          </w:p>
        </w:tc>
      </w:tr>
    </w:tbl>
    <w:p>
      <w:pPr>
        <w:pStyle w:val="[Normal]"/>
        <w:spacing w:after="170"/>
        <w:ind w:left="1706" w:hanging="1706"/>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2"/>
        <w:gridCol w:w="1700"/>
      </w:tblGrid>
      <w:tr>
        <w:tc>
          <w:tcPr>
            <w:tcW w:w="1706" w:type="dxa"/>
            <w:shd w:val="clear" w:color="auto" w:fill="auto"/>
            <w:vAlign w:val="top"/>
          </w:tcPr>
          <w:p>
            <w:pPr>
              <w:pStyle w:val="[Normal]"/>
              <w:rPr>
                <w:sz w:val="20"/>
                <w:lang w:val="de-DE" w:eastAsia="de-DE" w:bidi="de-DE"/>
              </w:rPr>
            </w:pPr>
          </w:p>
        </w:tc>
        <w:tc>
          <w:tcPr>
            <w:tcW w:w="7082" w:type="dxa"/>
            <w:shd w:val="clear" w:color="auto" w:fill="auto"/>
            <w:vAlign w:val="top"/>
          </w:tcPr>
          <w:p>
            <w:pPr>
              <w:pStyle w:val="MPos"/>
              <w:rPr>
                <w:lang w:val="de-DE" w:eastAsia="de-DE" w:bidi="de-DE"/>
              </w:rPr>
            </w:pPr>
            <w:r>
              <w:rPr>
                <w:b w:val="off"/>
                <w:lang w:val="de-DE" w:eastAsia="de-DE" w:bidi="de-DE"/>
              </w:rPr>
              <w:t xml:space="preserve">Liefern und fachgerechtes Erstellen eines Wandputzes für Schichtstärken von 2 - 30 mm, sowie Füllen von Löchern, Vertiefungen, Schlitzen und Ausbrüchen zur Aufnahme von Fliesen- und Plattenbelägen mit sehr emissionsarmen (EMICODE EC 1), filz- und glättbaren, spannungsarmen Multimörtel. Spannungsarm auch in dicken Schichten und nach ca. 2 Stunden verlegereif für Fliesen.</w:t>
            </w:r>
          </w:p>
        </w:tc>
        <w:tc>
          <w:tcPr>
            <w:tcW w:w="1700" w:type="dxa"/>
            <w:shd w:val="clear" w:color="auto" w:fill="auto"/>
            <w:vAlign w:val="top"/>
          </w:tcPr>
          <w:p>
            <w:pPr>
              <w:pStyle w:val="[Normal]"/>
              <w:rPr>
                <w:sz w:val="20"/>
                <w:lang w:val="de-DE" w:eastAsia="de-DE" w:bidi="de-DE"/>
              </w:rPr>
            </w:pPr>
          </w:p>
        </w:tc>
      </w:tr>
    </w:tbl>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Produkt: </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ind w:left="1706" w:right="1984"/>
        <w:rPr>
          <w:b w:val="off"/>
          <w:lang w:val="de-DE" w:eastAsia="de-DE" w:bidi="de-DE"/>
        </w:rPr>
      </w:pPr>
      <w:r>
        <w:rPr>
          <w:b w:val="off"/>
          <w:lang w:val="de-DE" w:eastAsia="de-DE" w:bidi="de-DE"/>
        </w:rPr>
        <w:t xml:space="preserve">	ARDEX AR 300, Multimörtel</w:t>
      </w:r>
    </w:p>
    <w:p>
      <w:pPr>
        <w:pStyle w:val="MPos"/>
        <w:tabs>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70"/>
        <w:ind w:left="1706" w:right="1984"/>
        <w:rPr>
          <w:b w:val="off"/>
          <w:lang w:val="de-DE" w:eastAsia="de-DE" w:bidi="de-DE"/>
        </w:rPr>
      </w:pPr>
      <w:r>
        <w:rPr>
          <w:b w:val="off"/>
          <w:lang w:val="de-DE" w:eastAsia="de-DE" w:bidi="de-DE"/>
        </w:rPr>
        <w:t xml:space="preserve">	oder gleichwertig     Fabrikat / Typ:  '........................................'</w:t>
      </w:r>
      <w:bookmarkStart w:id="12" w:name="LT_143589"/>
      <w:bookmarkEnd w:id="12"/>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4541"/>
        <w:gridCol w:w="1412"/>
        <w:gridCol w:w="119"/>
        <w:gridCol w:w="1015"/>
        <w:gridCol w:w="5"/>
        <w:gridCol w:w="1695"/>
        <w:gridCol w:w="6"/>
        <w:gridCol w:w="1695"/>
      </w:tblGrid>
      <w:tr>
        <w:tc>
          <w:tcPr>
            <w:tcW w:w="4541" w:type="dxa"/>
            <w:shd w:val="clear" w:color="auto" w:fill="auto"/>
            <w:vAlign w:val="top"/>
          </w:tcPr>
          <w:p>
            <w:pPr>
              <w:pStyle w:val="[Normal]"/>
              <w:rPr>
                <w:sz w:val="20"/>
                <w:lang w:val="de-DE" w:eastAsia="de-DE" w:bidi="de-DE"/>
              </w:rPr>
            </w:pPr>
          </w:p>
        </w:tc>
        <w:tc>
          <w:tcPr>
            <w:tcW w:w="1412" w:type="dxa"/>
            <w:shd w:val="clear" w:color="auto" w:fill="auto"/>
            <w:vAlign w:val="top"/>
          </w:tcPr>
          <w:p>
            <w:pPr>
              <w:pStyle w:val="[Normal]"/>
              <w:jc w:val="right"/>
              <w:rPr>
                <w:sz w:val="20"/>
                <w:lang w:val="de-DE" w:eastAsia="de-DE" w:bidi="de-DE"/>
              </w:rPr>
            </w:pPr>
            <w:r>
              <w:rPr>
                <w:sz w:val="20"/>
                <w:lang w:val="de-DE" w:eastAsia="de-DE" w:bidi="de-DE"/>
              </w:rPr>
              <w:t xml:space="preserve">0</w:t>
            </w:r>
          </w:p>
        </w:tc>
        <w:tc>
          <w:tcPr>
            <w:tcW w:w="119" w:type="dxa"/>
            <w:shd w:val="clear" w:color="auto" w:fill="auto"/>
            <w:vAlign w:val="top"/>
          </w:tcPr>
          <w:p>
            <w:pPr>
              <w:pStyle w:val="[Normal]"/>
              <w:rPr>
                <w:sz w:val="20"/>
                <w:lang w:val="de-DE" w:eastAsia="de-DE" w:bidi="de-DE"/>
              </w:rPr>
            </w:pPr>
          </w:p>
        </w:tc>
        <w:tc>
          <w:tcPr>
            <w:tcW w:w="1015" w:type="dxa"/>
            <w:shd w:val="clear" w:color="auto" w:fill="auto"/>
            <w:vAlign w:val="top"/>
          </w:tcPr>
          <w:p>
            <w:pPr>
              <w:pStyle w:val="[Normal]"/>
              <w:rPr>
                <w:b/>
                <w:sz w:val="20"/>
                <w:lang w:val="de-DE" w:eastAsia="de-DE" w:bidi="de-DE"/>
              </w:rPr>
            </w:pPr>
            <w:r>
              <w:rPr>
                <w:b/>
                <w:sz w:val="20"/>
                <w:lang w:val="de-DE" w:eastAsia="de-DE" w:bidi="de-DE"/>
              </w:rPr>
              <w:t xml:space="preserve">m²</w:t>
            </w:r>
          </w:p>
        </w:tc>
        <w:tc>
          <w:tcPr>
            <w:tcW w:w="5"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sz w:val="20"/>
                <w:lang w:val="de-DE" w:eastAsia="de-DE" w:bidi="de-DE"/>
              </w:rPr>
            </w:pPr>
            <w:r>
              <w:rPr>
                <w:sz w:val="20"/>
                <w:lang w:val="de-DE" w:eastAsia="de-DE" w:bidi="de-DE"/>
              </w:rPr>
              <w:t xml:space="preserve">....................</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1.8 Produkt AR 300</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1 Produktgruppe 1 Rohbau</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p>
      <w:pPr>
        <w:pStyle w:val="[Normal]"/>
        <w:spacing w:before="2735"/>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pageBreakBefore/>
        <w:rPr>
          <w:sz w:val="2"/>
          <w:lang w:val="de-DE" w:eastAsia="de-DE" w:bidi="de-DE"/>
        </w:rPr>
      </w:pPr>
      <w:r>
        <w:rPr>
          <w:sz w:val="2"/>
          <w:lang w:val="de-DE" w:eastAsia="de-DE" w:bidi="de-DE"/>
        </w:rPr>
        <w:t xml:space="preserve">   </w:t>
      </w:r>
    </w:p>
    <w:tbl>
      <w:tblPr>
        <w:tblW w:w="0" w:type="auto"/>
        <w:jc w:val="left"/>
        <w:tblInd w:w="36" w:type="dxa"/>
        <w:tblBorders>
          <w:top w:val="none"/>
          <w:left w:val="none"/>
          <w:bottom w:val="none"/>
          <w:right w:val="none"/>
          <w:insideH w:val="none"/>
          <w:insideV w:val="none"/>
        </w:tblBorders>
        <w:tblLayout w:type="fixed"/>
        <w:tblCellMar>
          <w:top w:w="0" w:type="dxa"/>
          <w:left w:w="36" w:type="dxa"/>
          <w:bottom w:w="0" w:type="dxa"/>
          <w:right w:w="36" w:type="dxa"/>
        </w:tblCellMar>
      </w:tblPr>
      <w:tblGrid>
        <w:gridCol w:w="5375"/>
        <w:gridCol w:w="3810"/>
        <w:gridCol w:w="1575"/>
      </w:tblGrid>
      <w:tr>
        <w:tc>
          <w:tcPr>
            <w:tcW w:w="53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8"/>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r>
              <w:rPr>
                <w:b/>
                <w:lang w:val="de-DE" w:eastAsia="de-DE" w:bidi="de-DE"/>
              </w:rPr>
              <w:t xml:space="preserve">ARDEX GmbH</w:t>
            </w:r>
          </w:p>
        </w:tc>
        <w:tc>
          <w:tcPr>
            <w:tcW w:w="3810"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2"/>
                <w:lang w:val="de-DE" w:eastAsia="de-DE" w:bidi="de-DE"/>
              </w:rPr>
            </w:pPr>
          </w:p>
        </w:tc>
        <w:tc>
          <w:tcPr>
            <w:tcW w:w="1575" w:type="dxa"/>
            <w:shd w:val="clear" w:color="auto" w:fill="auto"/>
            <w:vAlign w:val="top"/>
          </w:tcPr>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4"/>
                <w:lang w:val="de-DE" w:eastAsia="de-DE" w:bidi="de-DE"/>
              </w:rPr>
            </w:pPr>
          </w:p>
          <w:p>
            <w:pPr>
              <w:pStyle w:val="[Normal]"/>
              <w:tabs>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jc w:val="right"/>
              <w:rPr>
                <w:b/>
                <w:sz w:val="22"/>
                <w:lang w:val="de-DE" w:eastAsia="de-DE" w:bidi="de-DE"/>
              </w:rPr>
            </w:pPr>
            <w:r>
              <w:rPr>
                <w:b/>
                <w:sz w:val="20"/>
                <w:lang w:val="de-DE" w:eastAsia="de-DE" w:bidi="de-DE"/>
              </w:rPr>
              <w:drawing>
                <wp:inline distT="0" distB="0" distL="0" distR="0">
                  <wp:extent cx="819785" cy="521335"/>
                  <wp:docPr id="11" name="_tx_id_11_"/>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00013"/>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pPr>
        <w:pStyle w:val="[Normal]"/>
        <w:rPr>
          <w:b/>
          <w:sz w:val="22"/>
          <w:lang w:val="de-DE" w:eastAsia="de-DE" w:bidi="de-DE"/>
        </w:rPr>
      </w:pP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tcBorders>
              <w:bottom w:val="nil"/>
            </w:tcBorders>
            <w:shd w:val="clear" w:color="auto" w:fill="auto"/>
            <w:vAlign w:val="top"/>
          </w:tcPr>
          <w:p>
            <w:pPr>
              <w:pStyle w:val="[Normal]"/>
              <w:rPr>
                <w:sz w:val="2"/>
                <w:lang w:val="de-DE" w:eastAsia="de-DE" w:bidi="de-DE"/>
              </w:rPr>
            </w:pPr>
          </w:p>
        </w:tc>
      </w:tr>
    </w:tbl>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2546"/>
        <w:gridCol w:w="11"/>
        <w:gridCol w:w="5380"/>
        <w:gridCol w:w="6"/>
        <w:gridCol w:w="2546"/>
      </w:tblGrid>
      <w:tr>
        <w:tc>
          <w:tcPr>
            <w:tcW w:w="2546" w:type="dxa"/>
            <w:tcBorders>
              <w:top w:val="nil"/>
            </w:tcBorders>
            <w:shd w:val="clear" w:color="auto" w:fill="auto"/>
            <w:vAlign w:val="top"/>
          </w:tcPr>
          <w:p>
            <w:pPr>
              <w:pStyle w:val="[Normal]"/>
              <w:rPr>
                <w:b/>
                <w:sz w:val="16"/>
                <w:lang w:val="de-DE" w:eastAsia="de-DE" w:bidi="de-DE"/>
              </w:rPr>
            </w:pPr>
            <w:r>
              <w:rPr>
                <w:b/>
                <w:sz w:val="16"/>
                <w:lang w:val="de-DE" w:eastAsia="de-DE" w:bidi="de-DE"/>
              </w:rPr>
              <w:t xml:space="preserve">15.06.2022</w:t>
            </w:r>
          </w:p>
        </w:tc>
        <w:tc>
          <w:tcPr>
            <w:tcW w:w="11" w:type="dxa"/>
            <w:tcBorders>
              <w:top w:val="nil"/>
            </w:tcBorders>
            <w:shd w:val="clear" w:color="auto" w:fill="auto"/>
            <w:vAlign w:val="top"/>
          </w:tcPr>
          <w:p>
            <w:pPr>
              <w:pStyle w:val="[Normal]"/>
              <w:rPr>
                <w:sz w:val="16"/>
                <w:lang w:val="de-DE" w:eastAsia="de-DE" w:bidi="de-DE"/>
              </w:rPr>
            </w:pPr>
          </w:p>
        </w:tc>
        <w:tc>
          <w:tcPr>
            <w:tcW w:w="5380" w:type="dxa"/>
            <w:tcBorders>
              <w:top w:val="nil"/>
            </w:tcBorders>
            <w:shd w:val="clear" w:color="auto" w:fill="auto"/>
            <w:vAlign w:val="top"/>
          </w:tcPr>
          <w:p>
            <w:pPr>
              <w:pStyle w:val="[Normal]"/>
              <w:jc w:val="center"/>
              <w:rPr>
                <w:b/>
                <w:color w:val="FFFFFF"/>
                <w:sz w:val="20"/>
                <w:lang w:val="de-DE" w:eastAsia="de-DE" w:bidi="de-DE"/>
              </w:rPr>
            </w:pPr>
            <w:r>
              <w:rPr>
                <w:b/>
                <w:color w:val="FFFFFF"/>
                <w:sz w:val="20"/>
                <w:lang w:val="de-DE" w:eastAsia="de-DE" w:bidi="de-DE"/>
              </w:rPr>
              <w:t xml:space="preserve">Leistungsverzeichnis Blankett</w:t>
            </w:r>
          </w:p>
        </w:tc>
        <w:tc>
          <w:tcPr>
            <w:tcW w:w="6" w:type="dxa"/>
            <w:tcBorders>
              <w:top w:val="nil"/>
            </w:tcBorders>
            <w:shd w:val="clear" w:color="auto" w:fill="auto"/>
            <w:vAlign w:val="top"/>
          </w:tcPr>
          <w:p>
            <w:pPr>
              <w:pStyle w:val="[Normal]"/>
              <w:rPr>
                <w:sz w:val="16"/>
                <w:lang w:val="de-DE" w:eastAsia="de-DE" w:bidi="de-DE"/>
              </w:rPr>
            </w:pPr>
          </w:p>
        </w:tc>
        <w:tc>
          <w:tcPr>
            <w:tcW w:w="2546" w:type="dxa"/>
            <w:tcBorders>
              <w:top w:val="nil"/>
            </w:tcBorders>
            <w:shd w:val="clear" w:color="auto" w:fill="auto"/>
            <w:vAlign w:val="top"/>
          </w:tcPr>
          <w:p>
            <w:pPr>
              <w:pStyle w:val="[Normal]"/>
              <w:jc w:val="right"/>
              <w:rPr>
                <w:b/>
                <w:sz w:val="16"/>
                <w:lang w:val="de-DE" w:eastAsia="de-DE" w:bidi="de-DE"/>
              </w:rPr>
            </w:pPr>
            <w:r>
              <w:rPr>
                <w:b/>
                <w:sz w:val="16"/>
                <w:lang w:val="de-DE" w:eastAsia="de-DE" w:bidi="de-DE"/>
              </w:rPr>
              <w:t xml:space="preserve">Seite 10 / 10</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r>
        <w:tc>
          <w:tcPr>
            <w:tcW w:w="10483" w:type="dxa"/>
            <w:tcBorders>
              <w:top w:val="single" w:sz="4" w:space="0" w:color="auto"/>
            </w:tcBorders>
            <w:shd w:val="clear" w:color="auto" w:fill="auto"/>
            <w:tcMar>
              <w:top w:w="36" w:type="dxa"/>
            </w:tcMar>
            <w:vAlign w:val="top"/>
          </w:tcPr>
          <w:p>
            <w:pPr>
              <w:pStyle w:val="[Normal]"/>
              <w:rPr>
                <w:sz w:val="6"/>
                <w:lang w:val="de-DE" w:eastAsia="de-DE" w:bidi="de-DE"/>
              </w:rPr>
            </w:pPr>
            <w:r>
              <w:rPr>
                <w:sz w:val="6"/>
                <w:lang w:val="de-DE" w:eastAsia="de-DE" w:bidi="de-DE"/>
              </w:rPr>
              <w:t xml:space="preserve">                                                                                                                                                                                                                                                                                                                                                                                                                                                                                                                                                                                                                                   </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rPr>
          <w:b/>
          <w:sz w:val="2"/>
          <w:lang w:val="de-DE" w:eastAsia="de-DE" w:bidi="de-DE"/>
        </w:rPr>
      </w:pPr>
      <w:r>
        <w:rPr>
          <w:b/>
          <w:sz w:val="2"/>
          <w:lang w:val="de-DE" w:eastAsia="de-DE" w:bidi="de-DE"/>
        </w:rPr>
        <w:t xml:space="preserve">   </w:t>
      </w:r>
    </w:p>
    <w:p>
      <w:pPr>
        <w:pStyle w:val="[Normal]"/>
        <w:spacing w:after="56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4"/>
        <w:gridCol w:w="4"/>
      </w:tblGrid>
      <w:tr>
        <w:tc>
          <w:tcPr>
            <w:tcW w:w="10484" w:type="dxa"/>
            <w:shd w:val="clear" w:color="auto" w:fill="auto"/>
            <w:vAlign w:val="top"/>
          </w:tcPr>
          <w:p>
            <w:pPr>
              <w:pStyle w:val="[Normal]"/>
              <w:jc w:val="center"/>
              <w:rPr>
                <w:b/>
                <w:sz w:val="20"/>
                <w:lang w:val="de-DE" w:eastAsia="de-DE" w:bidi="de-DE"/>
              </w:rPr>
            </w:pPr>
            <w:r>
              <w:rPr>
                <w:b/>
                <w:sz w:val="20"/>
                <w:lang w:val="de-DE" w:eastAsia="de-DE" w:bidi="de-DE"/>
              </w:rPr>
              <w:t xml:space="preserve">Zusammenstellung</w:t>
            </w:r>
          </w:p>
        </w:tc>
        <w:tc>
          <w:tcPr>
            <w:tcW w:w="4" w:type="dxa"/>
            <w:shd w:val="clear" w:color="auto" w:fill="auto"/>
            <w:vAlign w:val="top"/>
          </w:tcPr>
          <w:p>
            <w:pPr>
              <w:pStyle w:val="[Normal]"/>
              <w:rPr>
                <w:sz w:val="20"/>
                <w:lang w:val="de-DE" w:eastAsia="de-DE" w:bidi="de-DE"/>
              </w:rPr>
            </w:pPr>
          </w:p>
        </w:tc>
      </w:tr>
    </w:tbl>
    <w:p>
      <w:pPr>
        <w:pStyle w:val="[Normal]"/>
        <w:spacing w:after="283"/>
        <w:rPr>
          <w:sz w:val="2"/>
          <w:lang w:val="de-DE" w:eastAsia="de-DE" w:bidi="de-DE"/>
        </w:rPr>
      </w:pPr>
      <w:r>
        <w:rPr>
          <w:sz w:val="2"/>
          <w:lang w:val="de-DE" w:eastAsia="de-DE" w:bidi="de-DE"/>
        </w:rPr>
        <w:t xml:space="preserve">   </w:t>
      </w:r>
    </w:p>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1.1</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Produkte BM; BM-P; BM-T10; BM-V10</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1.2</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M4</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1.3</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B 10</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1.4</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B 12</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1.5</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B 14</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1.6</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B 16</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1.7</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AM 100</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027"/>
        <w:gridCol w:w="1696"/>
        <w:gridCol w:w="339"/>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1.8</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 AR 300</w:t>
            </w:r>
          </w:p>
        </w:tc>
        <w:tc>
          <w:tcPr>
            <w:tcW w:w="1027" w:type="dxa"/>
            <w:shd w:val="clear" w:color="auto" w:fill="auto"/>
            <w:vAlign w:val="top"/>
          </w:tcPr>
          <w:p>
            <w:pPr>
              <w:pStyle w:val="[Normal]"/>
              <w:rPr>
                <w:sz w:val="20"/>
                <w:lang w:val="de-DE" w:eastAsia="de-DE" w:bidi="de-DE"/>
              </w:rPr>
            </w:pPr>
          </w:p>
        </w:tc>
        <w:tc>
          <w:tcPr>
            <w:tcW w:w="1696" w:type="dxa"/>
            <w:shd w:val="clear" w:color="auto" w:fill="auto"/>
            <w:vAlign w:val="top"/>
          </w:tcPr>
          <w:p>
            <w:pPr>
              <w:pStyle w:val="[Normal]"/>
              <w:jc w:val="right"/>
              <w:rPr>
                <w:b/>
                <w:sz w:val="20"/>
                <w:lang w:val="de-DE" w:eastAsia="de-DE" w:bidi="de-DE"/>
              </w:rPr>
            </w:pPr>
            <w:r>
              <w:rPr>
                <w:b/>
                <w:sz w:val="20"/>
                <w:lang w:val="de-DE" w:eastAsia="de-DE" w:bidi="de-DE"/>
              </w:rPr>
              <w:t xml:space="preserve">....................</w:t>
            </w:r>
          </w:p>
        </w:tc>
        <w:tc>
          <w:tcPr>
            <w:tcW w:w="339" w:type="dxa"/>
            <w:shd w:val="clear" w:color="auto" w:fill="auto"/>
            <w:vAlign w:val="top"/>
          </w:tcPr>
          <w:p>
            <w:pPr>
              <w:pStyle w:val="[Normal]"/>
              <w:rPr>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695"/>
        <w:gridCol w:w="11"/>
        <w:gridCol w:w="5720"/>
        <w:gridCol w:w="1367"/>
        <w:gridCol w:w="1695"/>
      </w:tblGrid>
      <w:tr>
        <w:tc>
          <w:tcPr>
            <w:tcW w:w="1695" w:type="dxa"/>
            <w:shd w:val="clear" w:color="auto" w:fill="auto"/>
            <w:vAlign w:val="top"/>
          </w:tcPr>
          <w:p>
            <w:pPr>
              <w:pStyle w:val="[Normal]"/>
              <w:rPr>
                <w:b/>
                <w:sz w:val="20"/>
                <w:lang w:val="de-DE" w:eastAsia="de-DE" w:bidi="de-DE"/>
              </w:rPr>
            </w:pPr>
            <w:r>
              <w:rPr>
                <w:b/>
                <w:sz w:val="20"/>
                <w:lang w:val="de-DE" w:eastAsia="de-DE" w:bidi="de-DE"/>
              </w:rPr>
              <w:t xml:space="preserve">1</w:t>
            </w:r>
          </w:p>
        </w:tc>
        <w:tc>
          <w:tcPr>
            <w:tcW w:w="11" w:type="dxa"/>
            <w:shd w:val="clear" w:color="auto" w:fill="auto"/>
            <w:vAlign w:val="top"/>
          </w:tcPr>
          <w:p>
            <w:pPr>
              <w:pStyle w:val="[Normal]"/>
              <w:rPr>
                <w:sz w:val="20"/>
                <w:lang w:val="de-DE" w:eastAsia="de-DE" w:bidi="de-DE"/>
              </w:rPr>
            </w:pPr>
          </w:p>
        </w:tc>
        <w:tc>
          <w:tcPr>
            <w:tcW w:w="5720" w:type="dxa"/>
            <w:shd w:val="clear" w:color="auto" w:fill="auto"/>
            <w:vAlign w:val="top"/>
          </w:tcPr>
          <w:p>
            <w:pPr>
              <w:pStyle w:val="[Normal]"/>
              <w:rPr>
                <w:b/>
                <w:sz w:val="20"/>
                <w:lang w:val="de-DE" w:eastAsia="de-DE" w:bidi="de-DE"/>
              </w:rPr>
            </w:pPr>
            <w:r>
              <w:rPr>
                <w:b/>
                <w:sz w:val="20"/>
                <w:lang w:val="de-DE" w:eastAsia="de-DE" w:bidi="de-DE"/>
              </w:rPr>
              <w:t xml:space="preserve">Produktgruppe 1 Rohbau</w:t>
            </w:r>
          </w:p>
        </w:tc>
        <w:tc>
          <w:tcPr>
            <w:tcW w:w="1367"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b/>
                <w:sz w:val="20"/>
                <w:lang w:val="de-DE" w:eastAsia="de-DE" w:bidi="de-DE"/>
              </w:rPr>
            </w:pPr>
            <w:r>
              <w:rPr>
                <w:b/>
                <w:sz w:val="20"/>
                <w:lang w:val="de-DE" w:eastAsia="de-DE" w:bidi="de-DE"/>
              </w:rPr>
              <w:t xml:space="preserve">....................</w:t>
            </w:r>
          </w:p>
        </w:tc>
      </w:tr>
    </w:tbl>
    <w:p>
      <w:pPr>
        <w:pStyle w:val="[Normal]"/>
        <w:spacing w:after="57"/>
        <w:rPr>
          <w:sz w:val="2"/>
          <w:lang w:val="de-DE" w:eastAsia="de-DE" w:bidi="de-DE"/>
        </w:rPr>
      </w:pPr>
      <w:r>
        <w:rPr>
          <w:sz w:val="2"/>
          <w:lang w:val="de-DE" w:eastAsia="de-DE" w:bidi="de-DE"/>
        </w:rPr>
        <w:t xml:space="preserve">   </w:t>
      </w:r>
    </w:p>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Summe</w:t>
            </w:r>
          </w:p>
        </w:tc>
        <w:tc>
          <w:tcPr>
            <w:tcW w:w="6" w:type="dxa"/>
            <w:shd w:val="clear" w:color="auto" w:fill="auto"/>
            <w:vAlign w:val="top"/>
          </w:tcPr>
          <w:p>
            <w:pPr>
              <w:pStyle w:val="[Normal]"/>
              <w:rPr>
                <w:sz w:val="20"/>
                <w:lang w:val="de-DE" w:eastAsia="de-DE" w:bidi="de-DE"/>
              </w:rPr>
            </w:pPr>
          </w:p>
        </w:tc>
        <w:tc>
          <w:tcPr>
            <w:tcW w:w="1695" w:type="dxa"/>
            <w:shd w:val="clear" w:color="auto" w:fill="auto"/>
            <w:vAlign w:val="top"/>
          </w:tcPr>
          <w:p>
            <w:pPr>
              <w:pStyle w:val="[Normal]"/>
              <w:jc w:val="right"/>
              <w:rPr>
                <w:b/>
                <w:sz w:val="20"/>
                <w:lang w:val="de-DE" w:eastAsia="de-DE" w:bidi="de-DE"/>
              </w:rPr>
            </w:pPr>
            <w:r>
              <w:rPr>
                <w:b/>
                <w:sz w:val="20"/>
                <w:lang w:val="de-DE" w:eastAsia="de-DE" w:bidi="de-DE"/>
              </w:rPr>
              <w:t xml:space="preserve">....................</w:t>
            </w:r>
          </w:p>
        </w:tc>
      </w:tr>
    </w:tbl>
    <w:p>
      <w:pPr>
        <w:pStyle w:val="[Normal]"/>
        <w:spacing w:after="11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zzgl. MwSt  ......... %</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283"/>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706"/>
        <w:gridCol w:w="7081"/>
        <w:gridCol w:w="6"/>
        <w:gridCol w:w="1695"/>
      </w:tblGrid>
      <w:tr>
        <w:tc>
          <w:tcPr>
            <w:tcW w:w="1706" w:type="dxa"/>
            <w:shd w:val="clear" w:color="auto" w:fill="auto"/>
            <w:vAlign w:val="top"/>
          </w:tcPr>
          <w:p>
            <w:pPr>
              <w:pStyle w:val="[Normal]"/>
              <w:rPr>
                <w:sz w:val="20"/>
                <w:lang w:val="de-DE" w:eastAsia="de-DE" w:bidi="de-DE"/>
              </w:rPr>
            </w:pPr>
          </w:p>
        </w:tc>
        <w:tc>
          <w:tcPr>
            <w:tcW w:w="7081" w:type="dxa"/>
            <w:shd w:val="clear" w:color="auto" w:fill="auto"/>
            <w:vAlign w:val="top"/>
          </w:tcPr>
          <w:p>
            <w:pPr>
              <w:pStyle w:val="[Normal]"/>
              <w:jc w:val="right"/>
              <w:rPr>
                <w:b/>
                <w:sz w:val="20"/>
                <w:lang w:val="de-DE" w:eastAsia="de-DE" w:bidi="de-DE"/>
              </w:rPr>
            </w:pPr>
            <w:r>
              <w:rPr>
                <w:b/>
                <w:sz w:val="20"/>
                <w:lang w:val="de-DE" w:eastAsia="de-DE" w:bidi="de-DE"/>
              </w:rPr>
              <w:t xml:space="preserve">Gesamtsumme</w:t>
            </w:r>
          </w:p>
        </w:tc>
        <w:tc>
          <w:tcPr>
            <w:tcW w:w="6" w:type="dxa"/>
            <w:shd w:val="clear" w:color="auto" w:fill="auto"/>
            <w:vAlign w:val="top"/>
          </w:tcPr>
          <w:p>
            <w:pPr>
              <w:pStyle w:val="[Normal]"/>
              <w:rPr>
                <w:sz w:val="20"/>
                <w:lang w:val="de-DE" w:eastAsia="de-DE" w:bidi="de-DE"/>
              </w:rPr>
            </w:pPr>
          </w:p>
        </w:tc>
        <w:tc>
          <w:tcPr>
            <w:tcW w:w="1695" w:type="dxa"/>
            <w:shd w:val="clear" w:color="auto" w:fill="auto"/>
            <w:tcMar>
              <w:left w:w="169" w:type="dxa"/>
            </w:tcMar>
            <w:vAlign w:val="top"/>
          </w:tcPr>
          <w:p>
            <w:pPr>
              <w:pStyle w:val="[Normal]"/>
              <w:tabs>
                <w:tab w:val="right" w:pos="1526"/>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rPr>
                <w:b/>
                <w:sz w:val="20"/>
                <w:u w:val="single"/>
                <w:lang w:val="de-DE" w:eastAsia="de-DE" w:bidi="de-DE"/>
              </w:rPr>
            </w:pPr>
            <w:r>
              <w:rPr>
                <w:b/>
                <w:sz w:val="20"/>
                <w:u w:val="single"/>
                <w:lang w:val="de-DE" w:eastAsia="de-DE" w:bidi="de-DE"/>
              </w:rPr>
              <w:t xml:space="preserve">	....................</w:t>
            </w:r>
          </w:p>
        </w:tc>
      </w:tr>
    </w:tbl>
    <w:p>
      <w:pPr>
        <w:pStyle w:val="[Normal]"/>
        <w:spacing w:after="283"/>
        <w:rPr>
          <w:sz w:val="2"/>
          <w:lang w:val="de-DE" w:eastAsia="de-DE" w:bidi="de-DE"/>
        </w:rPr>
      </w:pPr>
      <w:r>
        <w:rPr>
          <w:sz w:val="2"/>
          <w:lang w:val="de-DE" w:eastAsia="de-DE" w:bidi="de-DE"/>
        </w:rPr>
        <w:t xml:space="preserve">   </w:t>
      </w:r>
    </w:p>
    <w:p>
      <w:pPr>
        <w:pStyle w:val="[Normal]"/>
        <w:spacing w:before="6417"/>
        <w:rPr>
          <w:sz w:val="2"/>
          <w:lang w:val="de-DE" w:eastAsia="de-DE" w:bidi="de-DE"/>
        </w:rPr>
      </w:pPr>
      <w:r>
        <w:rPr>
          <w:sz w:val="2"/>
          <w:lang w:val="de-DE" w:eastAsia="de-DE" w:bidi="de-DE"/>
        </w:rPr>
        <w:t xml:space="preserve">   </w:t>
      </w:r>
    </w:p>
    <w:p>
      <w:pPr>
        <w:pStyle w:val="[Normal]"/>
        <w:spacing w:after="170"/>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5958"/>
        <w:gridCol w:w="4530"/>
      </w:tblGrid>
      <w:tr>
        <w:tc>
          <w:tcPr>
            <w:tcW w:w="5958" w:type="dxa"/>
            <w:shd w:val="clear" w:color="auto" w:fill="auto"/>
            <w:vAlign w:val="top"/>
          </w:tcPr>
          <w:p>
            <w:pPr>
              <w:pStyle w:val="[Normal]"/>
              <w:rPr>
                <w:sz w:val="20"/>
                <w:lang w:val="de-DE" w:eastAsia="de-DE" w:bidi="de-DE"/>
              </w:rPr>
            </w:pPr>
          </w:p>
        </w:tc>
        <w:tc>
          <w:tcPr>
            <w:tcW w:w="4530" w:type="dxa"/>
            <w:shd w:val="clear" w:color="auto" w:fill="auto"/>
            <w:vAlign w:val="top"/>
          </w:tcPr>
          <w:p>
            <w:pPr>
              <w:pStyle w:val="[Normal]"/>
              <w:jc w:val="right"/>
              <w:rPr>
                <w:b/>
                <w:sz w:val="20"/>
                <w:lang w:val="de-DE" w:eastAsia="de-DE" w:bidi="de-DE"/>
              </w:rPr>
            </w:pP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single" w:sz="2" w:space="0" w:color="auto"/>
          <w:right w:val="none"/>
          <w:insideH w:val="none"/>
          <w:insideV w:val="none"/>
        </w:tblBorders>
        <w:tblLayout w:type="fixed"/>
        <w:tblCellMar>
          <w:top w:w="0" w:type="dxa"/>
          <w:left w:w="0" w:type="dxa"/>
          <w:bottom w:w="36" w:type="dxa"/>
          <w:right w:w="0" w:type="dxa"/>
        </w:tblCellMar>
      </w:tblPr>
      <w:tblGrid>
        <w:gridCol w:w="10483"/>
      </w:tblGrid>
      <w:tr>
        <w:tc>
          <w:tcPr>
            <w:tcW w:w="10483" w:type="dxa"/>
            <w:shd w:val="clear" w:color="auto" w:fill="auto"/>
            <w:vAlign w:val="top"/>
          </w:tcPr>
          <w:p>
            <w:pPr>
              <w:pStyle w:val="[Normal]"/>
              <w:rPr>
                <w:sz w:val="6"/>
                <w:lang w:val="de-DE" w:eastAsia="de-DE" w:bidi="de-DE"/>
              </w:rPr>
            </w:pPr>
            <w:r>
              <w:rPr>
                <w:sz w:val="6"/>
                <w:lang w:val="de-DE" w:eastAsia="de-DE" w:bidi="de-DE"/>
              </w:rPr>
              <w:t xml:space="preserve">                                                                                                                                                                                                                                                                                                                                                                                                                                                                                                                                                                                                                                   </w:t>
            </w:r>
          </w:p>
        </w:tc>
      </w:tr>
    </w:tbl>
    <w:p>
      <w:pPr>
        <w:pStyle w:val="[Normal]"/>
        <w:spacing w:after="57"/>
        <w:rPr>
          <w:sz w:val="2"/>
          <w:lang w:val="de-DE" w:eastAsia="de-DE" w:bidi="de-DE"/>
        </w:rPr>
      </w:pPr>
      <w:r>
        <w:rPr>
          <w:sz w:val="2"/>
          <w:lang w:val="de-DE" w:eastAsia="de-DE" w:bidi="de-DE"/>
        </w:rPr>
        <w:t xml:space="preserve"> </w:t>
      </w:r>
    </w:p>
    <w:tbl>
      <w:tblPr>
        <w:tblW w:w="0" w:type="auto"/>
        <w:jc w:val="left"/>
        <w:tblInd w:w="0" w:type="dxa"/>
        <w:tblBorders>
          <w:top w:val="none"/>
          <w:left w:val="none"/>
          <w:bottom w:val="none"/>
          <w:right w:val="none"/>
          <w:insideH w:val="none"/>
          <w:insideV w:val="none"/>
        </w:tblBorders>
        <w:tblLayout w:type="fixed"/>
        <w:tblCellMar>
          <w:top w:w="0" w:type="dxa"/>
          <w:left w:w="0" w:type="dxa"/>
          <w:bottom w:w="0" w:type="dxa"/>
          <w:right w:w="0" w:type="dxa"/>
        </w:tblCellMar>
      </w:tblPr>
      <w:tblGrid>
        <w:gridCol w:w="10483"/>
      </w:tblGrid>
      <w:tr>
        <w:tc>
          <w:tcPr>
            <w:tcW w:w="10483" w:type="dxa"/>
            <w:shd w:val="clear" w:color="auto" w:fill="auto"/>
            <w:vAlign w:val="top"/>
          </w:tcPr>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eastAsia="Arial" w:cs="Arial"/>
                <w:color w:val="393C39"/>
                <w:sz w:val="13"/>
                <w:lang w:val="de-DE" w:eastAsia="de-DE" w:bidi="de-DE"/>
              </w:rPr>
            </w:pPr>
            <w:r>
              <w:rPr>
                <w:rFonts w:ascii="Arial" w:hAnsi="Arial" w:eastAsia="Arial" w:cs="Arial"/>
                <w:color w:val="393C39"/>
                <w:sz w:val="13"/>
                <w:lang w:val="de-DE" w:eastAsia="de-DE" w:bidi="de-DE"/>
              </w:rPr>
              <w:t xml:space="preserve">ARDEX GmbH, Friedrich-Ebert-Straße 45, D-58453 Witten</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hAnsi="Arial" w:eastAsia="Arial" w:cs="Arial"/>
                <w:color w:val="auto"/>
                <w:sz w:val="13"/>
                <w:u w:val="none"/>
                <w:lang w:val="de-DE" w:eastAsia="de-DE" w:bidi="de-DE"/>
              </w:rPr>
            </w:pPr>
            <w:r>
              <w:rPr>
                <w:rFonts w:ascii="Arial" w:hAnsi="Arial" w:eastAsia="Arial" w:cs="Arial"/>
                <w:color w:val="393C39"/>
                <w:sz w:val="13"/>
                <w:lang w:val="de-DE" w:eastAsia="de-DE" w:bidi="de-DE"/>
              </w:rPr>
              <w:t xml:space="preserve">Tel.: +49(0)2302 664-543, Fax: +49(0)2302 664-375, </w:t>
            </w:r>
            <w:r>
              <w:rPr>
                <w:rStyle w:val="Hyperlink"/>
                <w:rFonts w:ascii="Arial" w:hAnsi="Arial" w:eastAsia="Arial" w:cs="Arial"/>
                <w:color w:val="393C39"/>
                <w:sz w:val="13"/>
                <w:u w:val="none"/>
                <w:lang w:val="de-DE" w:eastAsia="de-DE" w:bidi="de-DE"/>
              </w:rPr>
              <w:t xml:space="preserve">technik@ardex.de</w:t>
            </w:r>
            <w:r>
              <w:rPr>
                <w:rFonts w:ascii="Arial" w:hAnsi="Arial" w:eastAsia="Arial" w:cs="Arial"/>
                <w:color w:val="393C39"/>
                <w:sz w:val="13"/>
                <w:lang w:val="de-DE" w:eastAsia="de-DE" w:bidi="de-DE"/>
              </w:rPr>
              <w:t xml:space="preserve">, </w:t>
            </w:r>
            <w:r>
              <w:rPr>
                <w:rStyle w:val="Hyperlink"/>
                <w:rFonts w:ascii="Arial" w:hAnsi="Arial" w:eastAsia="Arial" w:cs="Arial"/>
                <w:color w:val="393C39"/>
                <w:sz w:val="13"/>
                <w:u w:val="none"/>
                <w:lang w:val="de-DE" w:eastAsia="de-DE" w:bidi="de-DE"/>
              </w:rPr>
              <w:t xml:space="preserve">www.ardex.de</w:t>
            </w: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eastAsia="Arial" w:cs="Arial"/>
                <w:sz w:val="13"/>
                <w:lang w:val="de-DE" w:eastAsia="de-DE" w:bidi="de-DE"/>
              </w:rPr>
            </w:pPr>
          </w:p>
          <w:p>
            <w:pPr>
              <w:pStyle w:val="[Normal]"/>
              <w:rPr>
                <w:sz w:val="2"/>
                <w:lang w:val="de-DE" w:eastAsia="de-DE" w:bidi="de-DE"/>
              </w:rPr>
            </w:pPr>
          </w:p>
        </w:tc>
      </w:tr>
    </w:tbl>
    <w:p>
      <w:pPr>
        <w:pStyle w:val="[Normal]"/>
        <w:rPr>
          <w:sz w:val="2"/>
          <w:lang w:val="de-DE" w:eastAsia="de-DE" w:bidi="de-DE"/>
        </w:rPr>
      </w:pPr>
      <w:r>
        <w:rPr>
          <w:sz w:val="2"/>
          <w:lang w:val="de-DE" w:eastAsia="de-DE" w:bidi="de-DE"/>
        </w:rPr>
        <w:t xml:space="preserve">   </w:t>
      </w:r>
    </w:p>
    <w:p>
      <w:pPr>
        <w:pStyle w:val="[Normal]"/>
        <w:rPr>
          <w:sz w:val="2"/>
          <w:lang w:val="de-DE" w:eastAsia="de-DE" w:bidi="de-DE"/>
        </w:rPr>
      </w:pPr>
    </w:p>
    <w:sectPr>
      <w:pgSz w:w="11906" w:h="16838"/>
      <w:pgMar w:top="567" w:right="283" w:bottom="567" w:left="850"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NewsGotT">
    <w:charset w:val="00"/>
    <w:family w:val="auto"/>
    <w:pitch w:val="variable"/>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8.0.351.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Normal">
    <w:name w:val="Normal"/>
    <w:next w:val="Normal"/>
    <w:qFormat/>
    <w:pPr>
      <w:widowControl w:val="off"/>
      <w:shd w:val="clear" w:color="auto" w:fill="auto"/>
      <w:spacing w:before="0" w:after="0" w:line="240" w:lineRule="auto"/>
      <w:ind w:left="0" w:right="0" w:firstLine="0"/>
      <w:jc w:val="left"/>
    </w:pPr>
    <w:rPr>
      <w:rFonts w:ascii="NewsGotT" w:hAnsi="NewsGotT" w:eastAsia="NewsGotT" w:cs="NewsGotT"/>
      <w:b w:val="off"/>
      <w:bCs w:val="off"/>
      <w:i w:val="off"/>
      <w:iCs w:val="off"/>
      <w:strike w:val="off"/>
      <w:color w:val="auto"/>
      <w:position w:val="0"/>
      <w:sz w:val="24"/>
      <w:szCs w:val="24"/>
      <w:shd w:val="clear" w:color="auto" w:fill="auto"/>
      <w:rtl w:val="off"/>
      <w:lang w:val="x-none" w:eastAsia="x-none" w:bidi="x-none"/>
    </w:rPr>
  </w:style>
  <w:style w:type="character" w:styleId="Hyperlink">
    <w:name w:val="Hyperlink"/>
    <w:qFormat/>
    <w:rPr>
      <w:color w:val="0000FF"/>
      <w:u w:val="single"/>
      <w:rtl w:val="off"/>
      <w:lang w:val="x-none" w:eastAsia="x-none" w:bidi="x-none"/>
    </w:rPr>
  </w:style>
  <w:style w:type="paragraph" w:styleId="Stufe">
    <w:name w:val="Stufe"/>
    <w:basedOn w:val="[Normal]"/>
    <w:next w:val="Stufe"/>
    <w:qFormat/>
    <w:pPr/>
    <w:rPr>
      <w:b/>
      <w:bCs/>
      <w:sz w:val="20"/>
      <w:szCs w:val="20"/>
    </w:rPr>
  </w:style>
  <w:style w:type="paragraph" w:styleId="MPos">
    <w:name w:val="MPos"/>
    <w:basedOn w:val="[Normal]"/>
    <w:next w:val="MPos"/>
    <w:qFormat/>
    <w:pPr/>
    <w:rPr>
      <w:b/>
      <w:bCs/>
      <w:sz w:val="20"/>
      <w:szCs w:val="20"/>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image" Target="media/image0001.jpg"/>
	<Relationship Id="rId00004" Type="http://schemas.openxmlformats.org/officeDocument/2006/relationships/image" Target="media/image0002.jpg"/>
	<Relationship Id="rId00005" Type="http://schemas.openxmlformats.org/officeDocument/2006/relationships/image" Target="media/image0003.jpg"/>
	<Relationship Id="rId00006" Type="http://schemas.openxmlformats.org/officeDocument/2006/relationships/image" Target="media/image0004.jpg"/>
	<Relationship Id="rId00007" Type="http://schemas.openxmlformats.org/officeDocument/2006/relationships/image" Target="media/image0005.jpg"/>
	<Relationship Id="rId00008" Type="http://schemas.openxmlformats.org/officeDocument/2006/relationships/image" Target="media/image0006.jpg"/>
	<Relationship Id="rId00009" Type="http://schemas.openxmlformats.org/officeDocument/2006/relationships/image" Target="media/image0007.jpg"/>
	<Relationship Id="rId00010" Type="http://schemas.openxmlformats.org/officeDocument/2006/relationships/image" Target="media/image0008.jpg"/>
	<Relationship Id="rId00011" Type="http://schemas.openxmlformats.org/officeDocument/2006/relationships/image" Target="media/image0009.jpg"/>
	<Relationship Id="rId00012" Type="http://schemas.openxmlformats.org/officeDocument/2006/relationships/image" Target="media/image0010.jpg"/>
	<Relationship Id="rId00013" Type="http://schemas.openxmlformats.org/officeDocument/2006/relationships/image" Target="media/image0011.jpg"/>
	<Relationship Id="rId00014" Type="http://schemas.openxmlformats.org/officeDocument/2006/relationships/fontTable" Target="fontTable.xml"/>
	<Relationship Id="rId00015" Type="http://schemas.openxmlformats.org/officeDocument/2006/relationships/settings" Target="settings.xml"/>
</Relationships>
</file>