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 name="_tx_id_1_"/>
                  <a:graphic xmlns:a="http://schemas.openxmlformats.org/drawingml/2006/main">
                    <a:graphicData uri="http://schemas.openxmlformats.org/drawingml/2006/picture">
                      <pic:pic xmlns:pic="http://schemas.openxmlformats.org/drawingml/2006/picture">
                        <pic:nvPicPr>
                          <pic:cNvPr id="0" name="Image 1"/>
                          <pic:cNvPicPr>
                            <a:picLocks noMove="1" noResize="1"/>
                          </pic:cNvPicPr>
                        </pic:nvPicPr>
                        <pic:blipFill>
                          <a:blip r:embed="rId0000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color="auto" w:fill="auto"/>
            <w:vAlign w:val="top"/>
          </w:tcPr>
          <w:p>
            <w:pPr>
              <w:pStyle w:val="[Normal]"/>
              <w:jc w:val="center"/>
              <w:rPr>
                <w:b/>
                <w:lang w:val="de-DE" w:eastAsia="de-DE" w:bidi="de-DE"/>
              </w:rPr>
            </w:pPr>
            <w:r>
              <w:rPr>
                <w:b/>
                <w:lang w:val="de-DE" w:eastAsia="de-DE" w:bidi="de-DE"/>
              </w:rPr>
              <w:t xml:space="preserve">Inhaltsverzeichnis</w:t>
            </w:r>
          </w:p>
        </w:tc>
        <w:tc>
          <w:tcPr>
            <w:tcW w:w="4" w:type="dxa"/>
            <w:shd w:val="clear" w:color="auto" w:fill="auto"/>
            <w:vAlign w:val="top"/>
          </w:tcPr>
          <w:p>
            <w:pPr>
              <w:pStyle w:val="[Normal]"/>
              <w:rPr>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Produktgruppe 3 Untergrundvorbereitung..........................................</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FB..............................................................................................</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P 4 READY................................................................................</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PU 5...........................................................................................</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3.4</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P 6 READY................................................................................</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3.5</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P 10 SR.....................................................................................</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5</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3.6</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TP 10.........................................................................................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6</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3.7</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P 21...........................................................................................</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7</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3.8</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PU 30.........................................................................................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8</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3.9</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DS 30.........................................................................................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9</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3.10</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DS 40.........................................................................................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3.11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P 45 READY..............................................................................</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12</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3.12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TP 50.........................................................................................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3.13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P 51...........................................................................................</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3.14</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P 51 READY..............................................................................</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15</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3.15</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P 52...........................................................................................</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16</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3.16</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P 52 READY..............................................................................</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17</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3.17</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P 82...........................................................................................</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18</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3.18</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EP 2000.....................................................................................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19</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3.19</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EP 2001.....................................................................................</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23</w:t>
            </w:r>
          </w:p>
        </w:tc>
      </w:tr>
    </w:tbl>
    <w:p>
      <w:pPr>
        <w:pStyle w:val="[Normal]"/>
        <w:spacing w:before="3059"/>
        <w:rPr>
          <w:sz w:val="2"/>
          <w:lang w:val="de-DE" w:eastAsia="de-DE" w:bidi="de-DE"/>
        </w:rPr>
      </w:pPr>
      <w:r>
        <w:rPr>
          <w:sz w:val="2"/>
          <w:lang w:val="de-DE" w:eastAsia="de-DE" w:bidi="de-DE"/>
        </w:rPr>
        <w:t xml:space="preserve">   </w:t>
      </w:r>
    </w:p>
    <w:tbl>
      <w:tblPr>
        <w:tblW w:w="0" w:type="auto"/>
        <w:jc w:val="left"/>
        <w:tblInd w:w="0" w:type="dxa"/>
        <w:tblBorders>
          <w:top w:val="single" w:sz="2"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 name="_tx_id_2_"/>
                  <a:graphic xmlns:a="http://schemas.openxmlformats.org/drawingml/2006/main">
                    <a:graphicData uri="http://schemas.openxmlformats.org/drawingml/2006/picture">
                      <pic:pic xmlns:pic="http://schemas.openxmlformats.org/drawingml/2006/picture">
                        <pic:nvPicPr>
                          <pic:cNvPr id="0" name="Image 2"/>
                          <pic:cNvPicPr>
                            <a:picLocks noMove="1" noResize="1"/>
                          </pic:cNvPicPr>
                        </pic:nvPicPr>
                        <pic:blipFill>
                          <a:blip r:embed="rId0000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3</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Produktgruppe 3 Untergrundvorbereitung</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3.1</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FB</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3.1.1</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Haftbrücke an Estrichfanken aufbringen</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vollsattes aufbringen einer 2-K Epoxidhaftbrücke an den freigelegten, stabilen und gereinigten Estrichflanken an die frisch in frisch mit dem Estrich angearbeitet wird.</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FB Gießharz</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 w:name="LT_143690"/>
      <w:bookmarkEnd w:id="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3.1.2</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Risse kraftschlüssig verharzen</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Risse, Arbeitsansatzfugen, vorhandene Sollbruchstellen und evtl. vorhandene Schwundrisse erweitern, lose Teile entfernen und ca. alle 20-25 cm quer zur Fuge bzw. zum Riss bis max. 2/3 der Estrichdicke einschneiden, mit Industriestaubsauger gründlich absaugen und mit hoch fließfähigen 2-Komponenten-Epoxidharz kraftschlüssig unter Einlegen von Wellenbindern schließen, frisches Epoxidharz an der Oberfläche bündig abziehen und mit Quarzsand der Körnung 0,3 bis 0,6 mm vollsatt abstreuen. Nach vollständiger Erhärtung des 2-K-Harzes überschüssigen nicht eingebundenen Quarzsand vollständig entfernen.</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FB Gießharz</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QS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 w:name="LT_143691"/>
      <w:bookmarkEnd w:id="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0"/>
                <w:lang w:val="de-DE" w:eastAsia="de-DE" w:bidi="de-DE"/>
              </w:rPr>
            </w:pPr>
            <w:r>
              <w:rPr>
                <w:b/>
                <w:sz w:val="20"/>
                <w:lang w:val="de-DE" w:eastAsia="de-DE" w:bidi="de-DE"/>
              </w:rPr>
              <w:t xml:space="preserve">3.1 Produkt FB</w:t>
            </w:r>
          </w:p>
        </w:tc>
        <w:tc>
          <w:tcPr>
            <w:tcW w:w="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rPr>
          <w:sz w:val="2"/>
          <w:lang w:val="de-DE" w:eastAsia="de-DE" w:bidi="de-DE"/>
        </w:rPr>
      </w:pPr>
      <w:r>
        <w:rPr>
          <w:sz w:val="2"/>
          <w:lang w:val="de-DE" w:eastAsia="de-DE" w:bidi="de-DE"/>
        </w:rPr>
        <w:t xml:space="preserve">   </w:t>
      </w:r>
    </w:p>
    <w:p>
      <w:pPr>
        <w:pStyle w:val="[Normal]"/>
        <w:spacing w:before="350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3" name="_tx_id_3_"/>
                  <a:graphic xmlns:a="http://schemas.openxmlformats.org/drawingml/2006/main">
                    <a:graphicData uri="http://schemas.openxmlformats.org/drawingml/2006/picture">
                      <pic:pic xmlns:pic="http://schemas.openxmlformats.org/drawingml/2006/picture">
                        <pic:nvPicPr>
                          <pic:cNvPr id="0" name="Image 3"/>
                          <pic:cNvPicPr>
                            <a:picLocks noMove="1" noResize="1"/>
                          </pic:cNvPicPr>
                        </pic:nvPicPr>
                        <pic:blipFill>
                          <a:blip r:embed="rId0000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P 4 READY</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Grundieren von saugenden und nicht saugenden Untergründen an Boden-, Wand- und Deckenflächen (Innen und Außen)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Grundieren von saugenden und nicht saugenden Untergründen (wie z.B. Fliesen- und Plattenbeläge, Terrazzo, PVC-Beläge, lackierte Holzdielen Zement- und Anhydritestriche, Betone, u.a. im Innen- und Außenbereich) mit sehr emissionsarmer (EMICODE EC 1), schnell-trocknender, lösemittelfreier, mit Quarzkorn gefüllter Grundierung auf Kunstharzdispersionsbasis, als Vorbehandlung für die nachfolgende Aufnahme von zementär- oder gipsgebundenen Spachtelmassen sowie Fliesenklebern.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Auf saugfähigen Untergründen kann die Grundierung mit bis zu 10 Gewichts-% mit Wasser verdünnt werden.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bei dem Auftragen ist Pfützenbildung zu vermeiden.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P 4 READY Gebrauchsfertige und schnelle Multifunktions-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grundierung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 w:name="LT_143693"/>
      <w:bookmarkEnd w:id="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3.2 Produkt P 4 READY</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28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4" name="_tx_id_4_"/>
                  <a:graphic xmlns:a="http://schemas.openxmlformats.org/drawingml/2006/main">
                    <a:graphicData uri="http://schemas.openxmlformats.org/drawingml/2006/picture">
                      <pic:pic xmlns:pic="http://schemas.openxmlformats.org/drawingml/2006/picture">
                        <pic:nvPicPr>
                          <pic:cNvPr id="0" name="Image 4"/>
                          <pic:cNvPicPr>
                            <a:picLocks noMove="1" noResize="1"/>
                          </pic:cNvPicPr>
                        </pic:nvPicPr>
                        <pic:blipFill>
                          <a:blip r:embed="rId0000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3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PU 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Risse kraftschlüssig verharzen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Risse, Arbeitsansatzfugen, vorhandene Sollbruchstellen und evtl. vorhandene Schwundrisse erweitern, lose Teile entfernen und ca. alle 20-25 cm quer zur Fuge bzw. zum Riss bis max. 2/3 der Estrichdicke einschneiden, mit Industriestaubsauger gründlich absaugen und mit 2-Komponenten-Polyurethanharz kraftschlüssig unter Einlegen der beiliegenden Wellenbindern schließen, frisches Harz an der Oberfläche bündig abziehen und mit Quarzsand der Körnung 0,3 bis 0,6 mm vollsatt abstreuen. Nach vollständiger Erhärtung des 2-K-Harzes überschüssigen nicht eingebundenen Quarzsand vollständig entfernen.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PU 5 Schnellreperaturharz</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QS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4" w:name="LT_143695"/>
      <w:bookmarkEnd w:id="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3.3 Produkt PU 5</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52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5" name="_tx_id_5_"/>
                  <a:graphic xmlns:a="http://schemas.openxmlformats.org/drawingml/2006/main">
                    <a:graphicData uri="http://schemas.openxmlformats.org/drawingml/2006/picture">
                      <pic:pic xmlns:pic="http://schemas.openxmlformats.org/drawingml/2006/picture">
                        <pic:nvPicPr>
                          <pic:cNvPr id="0" name="Image 5"/>
                          <pic:cNvPicPr>
                            <a:picLocks noMove="1" noResize="1"/>
                          </pic:cNvPicPr>
                        </pic:nvPicPr>
                        <pic:blipFill>
                          <a:blip r:embed="rId0000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4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P 6 READY</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3.4.1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Spritzgrundierung auf saugenden und nichtsaugenden Untergründen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Auftragen der Grundierung im Spritzverfahren mit geeigneter Maschinentechnik (z.B. Airless-Geräten) auf saugenden und nicht saugenden Untergründen mit gebrauchsfertiger, sehr emissionsarmer (EMICODE EC 1), thixotroper, wasserhemmender und lösemittelfreier auf Kunstharzdispersionsbasis, als Vorbehandlung für die nachfolgende Aufnahme von zementär- oder gipsgebundenen Boden- und Wandspachtelmassen.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bei dem Auftragen ist Pfützenbildung zu vermeiden.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P 6 READY Universal Spritz- und Rollgrundierung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5" w:name="LT_143697"/>
      <w:bookmarkEnd w:id="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3.4 Produkt P 6 READY</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434"/>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6" name="_tx_id_6_"/>
                  <a:graphic xmlns:a="http://schemas.openxmlformats.org/drawingml/2006/main">
                    <a:graphicData uri="http://schemas.openxmlformats.org/drawingml/2006/picture">
                      <pic:pic xmlns:pic="http://schemas.openxmlformats.org/drawingml/2006/picture">
                        <pic:nvPicPr>
                          <pic:cNvPr id="0" name="Image 6"/>
                          <pic:cNvPicPr>
                            <a:picLocks noMove="1" noResize="1"/>
                          </pic:cNvPicPr>
                        </pic:nvPicPr>
                        <pic:blipFill>
                          <a:blip r:embed="rId0000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5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P 10 SR</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3.5.1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Risse kraftschlüssig verharzen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Risse, Arbeitsansatzfugen, vorhandene Sollbruchstellen und evtl. vorhandene Schwundrisse erweitern, lose Teile entfernen und ca. alle 20-25 cm quer zur Fuge bzw. zum Riss bis max. 2/3 der Estrichdicke einschneiden, mit Industriestaubsauger gründlich absaugen und mit schnell erhärtenden und belastbaren, geruchsneutralen, niedrigviskosen, sehr emissionsarmen (EMICODE EC 1) 2-Komponenten-Silikatharz kraftschlüssig unter Einlegen der beiliegenden Wellenbindern schließen, frisches Silikatarz an der Oberfläche bündig abziehen und mit Quarzsand der Körnung 0,3 bis 0,6 mm vollsatt abstreuen. Nach vollständiger Erhärtung des 2-K-Harzes überschüssigen nicht eingebundenen Quarzsand vollständig entfernen.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P 10 SR 2-K Schnellreparaturharz</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QS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6" w:name="LT_143699"/>
      <w:bookmarkEnd w:id="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1</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3.5 Produkt P 10 SR</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52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7" name="_tx_id_7_"/>
                  <a:graphic xmlns:a="http://schemas.openxmlformats.org/drawingml/2006/main">
                    <a:graphicData uri="http://schemas.openxmlformats.org/drawingml/2006/picture">
                      <pic:pic xmlns:pic="http://schemas.openxmlformats.org/drawingml/2006/picture">
                        <pic:nvPicPr>
                          <pic:cNvPr id="0" name="Image 7"/>
                          <pic:cNvPicPr>
                            <a:picLocks noMove="1" noResize="1"/>
                          </pic:cNvPicPr>
                        </pic:nvPicPr>
                        <pic:blipFill>
                          <a:blip r:embed="rId0000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6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TP 10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3.6.1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Randstreifen für Ausgleichsspachtelung liefern und einbauen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einbauen eines einseitig selbstklebenden 5 x 50 mm Rechteckstreifen aus Schaumstoff zur Anbringung an der Wand. Wirkt als Dämmsteifen zur Verhinderung von Randeinspannungen und Schallbrücken zwischen Boden und Wand bei Spachtel- und Ausgleichsarbeiten mit selbstverlaufenden und standfesten Spachtelmassen sowie bei der Verlegung von Fliesen und Platten.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TP 10 Randdämmstreifen, innen und außen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7" w:name="LT_143701"/>
      <w:bookmarkEnd w:id="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3.6 Produkt TP 10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66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8" name="_tx_id_8_"/>
                  <a:graphic xmlns:a="http://schemas.openxmlformats.org/drawingml/2006/main">
                    <a:graphicData uri="http://schemas.openxmlformats.org/drawingml/2006/picture">
                      <pic:pic xmlns:pic="http://schemas.openxmlformats.org/drawingml/2006/picture">
                        <pic:nvPicPr>
                          <pic:cNvPr id="0" name="Image 8"/>
                          <pic:cNvPicPr>
                            <a:picLocks noMove="1" noResize="1"/>
                          </pic:cNvPicPr>
                        </pic:nvPicPr>
                        <pic:blipFill>
                          <a:blip r:embed="rId0001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7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3.7</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P 21</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3.7.1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Abspachteln, Ausgleichen und Grundieren von dichten und saugenden Bodenflächen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Abspachteln, Ausgleichen und Grundieren von dichten und saugenden Bodenflächen (wie z.B. alte Fliesen- und Plattenbeläge, Estriche, u.a.) mit sehr emissionsarmer (EMICODE EC 1 Plus), schnell-trocknender und überarbeitbarer, zweikomponentiger, lösemittelfreier, spachtelfähiger und füllender Grundierung, als Vorbehandlung für die nachfolgende Aufnahme von zementär- oder gipsgebundenen Spachtelmassen sowie Fliesenklebern. Vor den Folgearbeiten ist die Grundierung vollständig trocknen zu lassen.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P 21 Füllende Grundierung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8" w:name="LT_143703"/>
      <w:bookmarkEnd w:id="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3.7.2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Abspachteln, Ausgleichen und Grundieren von Holzuntergründen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Abspachteln, Ausgleichen und Grundieren von Holzuntergründen mit sehr emissionsarmer (EMICODE EC 1 Plus), schnell-trocknender und überarbeitbarer, zweikomponentiger, lösemittelfreier, spachtelfähiger und füllender Grundierung in Kombination mit einem stabilen Armierungsgewebe. Vor den Folgearbeiten ist die Grundierung vollständig trocknen zu lassen.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P 21 Füllende Grundierung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BU-R Armierungsgewebe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9" w:name="LT_143704"/>
      <w:bookmarkEnd w:id="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3.7.3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Zulage - Faserarmierung für füllende Grundierung</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Zulage zur vorher genannten Position für die Vergütung der füllenden Grundierung mit hochleistungs Glasfasern zur Steigerung der Zug- und Biegezugfestigkeit.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AR Glasfaser Armierungsfaser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0" w:name="LT_143705"/>
      <w:bookmarkEnd w:id="1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3.7 Produkt P 21</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100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9" name="_tx_id_9_"/>
                  <a:graphic xmlns:a="http://schemas.openxmlformats.org/drawingml/2006/main">
                    <a:graphicData uri="http://schemas.openxmlformats.org/drawingml/2006/picture">
                      <pic:pic xmlns:pic="http://schemas.openxmlformats.org/drawingml/2006/picture">
                        <pic:nvPicPr>
                          <pic:cNvPr id="0" name="Image 9"/>
                          <pic:cNvPicPr>
                            <a:picLocks noMove="1" noResize="1"/>
                          </pic:cNvPicPr>
                        </pic:nvPicPr>
                        <pic:blipFill>
                          <a:blip r:embed="rId0001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8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3.8</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PU 30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3.8.1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Grundieren mit 1K-PU Grundierung</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Grundieren von saugenden und dichten Untergründen mit einer einkomponentigen, sehr emissionsarmen (EMICODE EC 1 PLUS), wasser- und lösemittelfreien, niedrig viskosen, schnell trocknenden 1K-Polyurethanharz Grundierung.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Dabei ist Pfützenbildung zu vermeiden.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Nach dem Auftrag wird die Grundierung im frischem Zustand vollsatt mit Quarzsand abgestreut, oder nach vor der Überarbeitung mit Spachtelmasse, Abdichtung oder Flliesenbelag mit passender gefüllter Grundierung grundiert um eine Haftung herzustellen.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Inkl. abkehren und absaugen des überschüssigen, nicht eingebundene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Vor den Folgearbeiten ist die Absperrung vollständig trocknen zu lassen.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PU 30 1K-PU Grundierung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QS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1" w:name="LT_143707"/>
      <w:bookmarkEnd w:id="1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3.8.2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Absperren des vorbereiteten Bodenfläche vor aufsteigender Restfeuchte bis max. 4 CM-Prozent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zweimaliges Auftragen einer einkomponentigen, sehr emissionsarmen (EMICODE EC 1), wasser- und lösemittelfreien, niedrig viskosen, schnell trocknenden 1K-Polyurethanharz Grundierung auf die in den Vorpositionen beschriebenen Bodenfläche. Jeder Auftrag ist mit mindestens 150 g/m² im Kreuzgang auszuführen. Dabei ist Pfützenbildung zu vermeiden. Der zweite Auftrag ist frühstens 60 Minuten nach dem ersten auszuführen und im frischem Zustand vollsatt mit Quarzsand abzustreuen. Vor den Folgearbeiten ist die Absperrung vollständig trocknen zu lassen.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Inkl. abkehren und absaugen des überschüssigen, nicht eingebundene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PU 30 1K-PU Grundierung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QS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2" w:name="LT_143708"/>
      <w:bookmarkEnd w:id="1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3.8 Produkt PU 30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91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0" name="_tx_id_10_"/>
                  <a:graphic xmlns:a="http://schemas.openxmlformats.org/drawingml/2006/main">
                    <a:graphicData uri="http://schemas.openxmlformats.org/drawingml/2006/picture">
                      <pic:pic xmlns:pic="http://schemas.openxmlformats.org/drawingml/2006/picture">
                        <pic:nvPicPr>
                          <pic:cNvPr id="0" name="Image 10"/>
                          <pic:cNvPicPr>
                            <a:picLocks noMove="1" noResize="1"/>
                          </pic:cNvPicPr>
                        </pic:nvPicPr>
                        <pic:blipFill>
                          <a:blip r:embed="rId0001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9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3.9</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DS 30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3.9.1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Entkopplungsplatten verkleben mit SMP-Klebstoff</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Verkleben der Entkopplungsplatten auf dem in den Vorpositionen vorbereiteten Untergrund mit lösemittelfreiem (gemäß GISCODE - RS 10), sehr emissionsarmen (EMICODE EC 1 Plus) und gebrauchsfertigem 1-komponenten SMP-Klebstoff mit schnellem Festigkeitsaufbau.</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sind die Anhaben in den Technischen Datenblättern zu beachten.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DS 30 Entkopplungsplatte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460 Fertigparkettkleber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480 Festelastischer Parkettkleber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3" w:name="LT_143710"/>
      <w:bookmarkEnd w:id="1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3.9.2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Entkopplungsplatten verkleben mit Fliesenkleber</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Verkleben der Entkopplungsplatten auf dem in den Vorpositionen vorbereiteten Untergrund mit einem hydraulisch schnell erhärtenden, schnell trocknenden (ARDURAPID Effekt), faserverstärkten, sehr emissionsarmen (EMICODE EC 1 Plus), kunststoffvergüteten, hochergiebigen und flexiblem Dünn- und Mittelbettmörtel mit vollständiger kristalliner Wasserbindung.</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sind die Anhaben in den Technischen Datenblättern zu beachten.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DS 30 Entkopplungsplatte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 28 NEU MICROTEC Großformatkleber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4" w:name="LT_143711"/>
      <w:bookmarkEnd w:id="1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3.9.3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Entkopplungsplatten verkleben mit 2K-PU Klebstoff</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Verkleben der Entkopplungsplatten auf dem in den Vorpositionen vorbereiteten Untergrund mit sehr emissionsarmen (EMICODE EC 1 Plus), lösemittel- und wasserfreien (GISCODE - RU 1) 2-K-Polyurethanklebstoff mit hoher Schubfestigkeit.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sind die Anhaben in den Technischen Datenblättern zu beachten.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Normal]"/>
        <w:spacing w:before="51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1" name="_tx_id_11_"/>
                  <a:graphic xmlns:a="http://schemas.openxmlformats.org/drawingml/2006/main">
                    <a:graphicData uri="http://schemas.openxmlformats.org/drawingml/2006/picture">
                      <pic:pic xmlns:pic="http://schemas.openxmlformats.org/drawingml/2006/picture">
                        <pic:nvPicPr>
                          <pic:cNvPr id="0" name="Image 11"/>
                          <pic:cNvPicPr>
                            <a:picLocks noMove="1" noResize="1"/>
                          </pic:cNvPicPr>
                        </pic:nvPicPr>
                        <pic:blipFill>
                          <a:blip r:embed="rId0001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10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DS 30 Entkopplungsplatte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AF 490 2K-PU Parkettkleber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w:t>
      </w:r>
      <w:bookmarkStart w:id="15" w:name="LT_143712"/>
      <w:bookmarkEnd w:id="1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3.9 Produkt DS 30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935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2" name="_tx_id_12_"/>
                  <a:graphic xmlns:a="http://schemas.openxmlformats.org/drawingml/2006/main">
                    <a:graphicData uri="http://schemas.openxmlformats.org/drawingml/2006/picture">
                      <pic:pic xmlns:pic="http://schemas.openxmlformats.org/drawingml/2006/picture">
                        <pic:nvPicPr>
                          <pic:cNvPr id="0" name="Image 12"/>
                          <pic:cNvPicPr>
                            <a:picLocks noMove="1" noResize="1"/>
                          </pic:cNvPicPr>
                        </pic:nvPicPr>
                        <pic:blipFill>
                          <a:blip r:embed="rId0001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11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3.10</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DS 40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3.10.1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Trittschalldämm- und Entkopplungsplatten verkleben mit Fliesenkleber</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Verkleben der Trittschalldämm- und Entkopplungsplatten auf den in den Vorpositionen vorbereiteten Untergrund mit einem hydraulisch erhärtendem, faserverstärktem, sehr emissionsarmen (EMICODE EC 1 Plus), kunststoffvergütetem und flexiblem Dünnbettmörtel mir fließfähigen Eigenschaften mit standfesten Mörtelstegen.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die Verarbeitung sind die Angaben in den Technischen Datenblättern zu beachten.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DS 40 Trittschalldämm- und Entkopplungsplatte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X 78 MICROTEC Flexkleber Boden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ARDEX X 78 S MICROTEC Flexkleber Boden, schnell  			oder gleichwertig     Fabrikat / Typ:  '........................................'</w:t>
      </w:r>
      <w:bookmarkStart w:id="16" w:name="LT_143714"/>
      <w:bookmarkEnd w:id="1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3.10 Produkt DS 40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294"/>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3" name="_tx_id_13_"/>
                  <a:graphic xmlns:a="http://schemas.openxmlformats.org/drawingml/2006/main">
                    <a:graphicData uri="http://schemas.openxmlformats.org/drawingml/2006/picture">
                      <pic:pic xmlns:pic="http://schemas.openxmlformats.org/drawingml/2006/picture">
                        <pic:nvPicPr>
                          <pic:cNvPr id="0" name="Image 13"/>
                          <pic:cNvPicPr>
                            <a:picLocks noMove="1" noResize="1"/>
                          </pic:cNvPicPr>
                        </pic:nvPicPr>
                        <pic:blipFill>
                          <a:blip r:embed="rId0001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12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P 45 READY</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Grundieren von saugenden und nicht saugenden Untergründen an Boden-, Wand- und Deckenflächen (Innen und Außen)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Grundieren von saugenden Untergründen zur anschließenden Parkettverlegung mit einer sehr emissionsarmen (EMICODE EC 1 PLUS), lösemittelfreien, niedrig viskosen, schnell trocknenden einkomponentigen Polyurethanharz Grundierung.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Dabei ist Pfützenbildung zu vermeiden.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Vor den Folgearbeiten ist die Grundierung vollständig trocknen zu lassen.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r>
        <w:rPr>
          <w:lang w:val="de-DE" w:eastAsia="de-DE" w:bidi="de-DE"/>
        </w:rPr>
        <w:t xml:space="preserve">ARDEX P 45 READY</w:t>
      </w:r>
      <w:r>
        <w:rPr>
          <w:b w:val="off"/>
          <w:lang w:val="de-DE" w:eastAsia="de-DE" w:bidi="de-DE"/>
        </w:rPr>
        <w:t xml:space="preserve"> Gebrauchsfertiger Dispersopnsvorstrich für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die Parkettverlegung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7" w:name="LT_143716"/>
      <w:bookmarkEnd w:id="1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3.11 Produkt P 45 READY</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18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4" name="_tx_id_14_"/>
                  <a:graphic xmlns:a="http://schemas.openxmlformats.org/drawingml/2006/main">
                    <a:graphicData uri="http://schemas.openxmlformats.org/drawingml/2006/picture">
                      <pic:pic xmlns:pic="http://schemas.openxmlformats.org/drawingml/2006/picture">
                        <pic:nvPicPr>
                          <pic:cNvPr id="0" name="Image 14"/>
                          <pic:cNvPicPr>
                            <a:picLocks noMove="1" noResize="1"/>
                          </pic:cNvPicPr>
                        </pic:nvPicPr>
                        <pic:blipFill>
                          <a:blip r:embed="rId0001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13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TP 50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Randstreifen für Ausgleichsspachtelung liefern und einbauen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einbauen eines unverrottbaren 5 x 50 mm Randdämmstreifen aus Polyethylenschaum mit selbstklebenden Klebefuß zur Verhinderung von Randeinspannungen sowie Schallbrücken zwischen Boden und Wand bei Spachtel- und Ausgleichsarbeiten mit selbstverlaufenden und standfesten Spachtelmassen.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TP 50 Randdämmstreifen, innen und außen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8" w:name="LT_143718"/>
      <w:bookmarkEnd w:id="1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3.12 Produkt TP 50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89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5" name="_tx_id_15_"/>
                  <a:graphic xmlns:a="http://schemas.openxmlformats.org/drawingml/2006/main">
                    <a:graphicData uri="http://schemas.openxmlformats.org/drawingml/2006/picture">
                      <pic:pic xmlns:pic="http://schemas.openxmlformats.org/drawingml/2006/picture">
                        <pic:nvPicPr>
                          <pic:cNvPr id="0" name="Image 15"/>
                          <pic:cNvPicPr>
                            <a:picLocks noMove="1" noResize="1"/>
                          </pic:cNvPicPr>
                        </pic:nvPicPr>
                        <pic:blipFill>
                          <a:blip r:embed="rId0001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14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P 51</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Grundieren von Wand- und Bodenflächen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Aufbringen einer schnell-trocknenden Grundierung auf Kunstharzdispersionsbasis auf saugfähigen Untergründen (wie z.B. CT- und CA-Estriche, Betone, Putze, Mauerwerk, Trockenbaustoffe u. a.) im geeignetem Mischungsverhältnis, mit Wasser verdünnt, als Vorbehandlung für die nachfolgende Aufnahme von zementär oder gipsgebundenen Spachtelmassen sowie Dünnbettmörtel- bzw. Verbundabdichtungssystemen. Dabei ist Pfützenbildung zu vermeiden. Vor den Folgearbeiten ist die Grundierung vollständig trocknen zu lassen.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P 51 Grundierkonzentrat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9" w:name="LT_143720"/>
      <w:bookmarkEnd w:id="1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3.13 Produkt P 51</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20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6" name="_tx_id_16_"/>
                  <a:graphic xmlns:a="http://schemas.openxmlformats.org/drawingml/2006/main">
                    <a:graphicData uri="http://schemas.openxmlformats.org/drawingml/2006/picture">
                      <pic:pic xmlns:pic="http://schemas.openxmlformats.org/drawingml/2006/picture">
                        <pic:nvPicPr>
                          <pic:cNvPr id="0" name="Image 16"/>
                          <pic:cNvPicPr>
                            <a:picLocks noMove="1" noResize="1"/>
                          </pic:cNvPicPr>
                        </pic:nvPicPr>
                        <pic:blipFill>
                          <a:blip r:embed="rId0001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15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P 51 READY</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3.14.1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Grundieren von Wand- und Bodenflächen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Aufbringen einer schnell-trocknenden und Lösemittel-freien Kunstharzdispersions-Grundierung auf saugfähigen Untergründen (wie z.B. Zement- und Anhydritestrichen, Betonen, Putzen, Mauerwerk, Trockenbaustoffen u.a.) als Vorbehandlung für die nachfolgende Aufnahme von zementär oder gipsgebundenen Spachtelmassen sowie Dünnbettmörtel- bzw. Verbundabdichtungssystemen.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Hemmt das Saugverhalten des Untergrundes.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Dabei ist Pfützenbildung zu vermeiden. Vor den Folgearbeiten ist die Grundierung vollständig trocknen zu lassen.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P 51 READY Gebrauchsfertige Grundierung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0" w:name="LT_143722"/>
      <w:bookmarkEnd w:id="2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3.14 Produkt P 51 READY</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97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7" name="_tx_id_17_"/>
                  <a:graphic xmlns:a="http://schemas.openxmlformats.org/drawingml/2006/main">
                    <a:graphicData uri="http://schemas.openxmlformats.org/drawingml/2006/picture">
                      <pic:pic xmlns:pic="http://schemas.openxmlformats.org/drawingml/2006/picture">
                        <pic:nvPicPr>
                          <pic:cNvPr id="0" name="Image 17"/>
                          <pic:cNvPicPr>
                            <a:picLocks noMove="1" noResize="1"/>
                          </pic:cNvPicPr>
                        </pic:nvPicPr>
                        <pic:blipFill>
                          <a:blip r:embed="rId0001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16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P 52</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3.15.1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Grundieren von Wand- und Bodenflächen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Aufbringen einer schnell-trocknenden und sehr emissionsarmen (EMICODE EC 1 Plus &amp; Blauer Engel) Grundierung auf Kunstharzdispersionsbasis auf saugfähigen Untergründen (wie z.B. CT- und CA-Estriche, Betone, Putze, Mauerwerk, Trockenbaustoffe u. a.) im geeignetem Mischungsverhältnis, mit Wasser verdünnt, als Vorbehandlung für die nachfolgende Aufnahme von zementär oder gipsgebundenen Spachtelmassen sowie Dünnbettmörtel- bzw. Verbundabdichtungssystemen. Dabei ist Pfützenbildung zu vermeiden. Vor den Folgearbeiten ist die Grundierung vollständig trocknen zu lassen.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P 52 Grundierkonzentrat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1" w:name="LT_143724"/>
      <w:bookmarkEnd w:id="2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3.15 Produkt P 52</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20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8" name="_tx_id_18_"/>
                  <a:graphic xmlns:a="http://schemas.openxmlformats.org/drawingml/2006/main">
                    <a:graphicData uri="http://schemas.openxmlformats.org/drawingml/2006/picture">
                      <pic:pic xmlns:pic="http://schemas.openxmlformats.org/drawingml/2006/picture">
                        <pic:nvPicPr>
                          <pic:cNvPr id="0" name="Image 18"/>
                          <pic:cNvPicPr>
                            <a:picLocks noMove="1" noResize="1"/>
                          </pic:cNvPicPr>
                        </pic:nvPicPr>
                        <pic:blipFill>
                          <a:blip r:embed="rId0002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17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tcBorders>
            <w:shd w:val="clear" w:color="auto" w:fill="auto"/>
            <w:vAlign w:val="top"/>
          </w:tcPr>
          <w:p>
            <w:pPr>
              <w:pStyle w:val="[Normal]"/>
              <w:rPr>
                <w:sz w:val="20"/>
                <w:lang w:val="de-DE" w:eastAsia="de-DE" w:bidi="de-DE"/>
              </w:rPr>
            </w:pPr>
          </w:p>
        </w:tc>
        <w:tc>
          <w:tcPr>
            <w:tcW w:w="2829"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tcBorders>
            <w:shd w:val="clear" w:color="auto" w:fill="auto"/>
            <w:vAlign w:val="top"/>
          </w:tcPr>
          <w:p>
            <w:pPr>
              <w:pStyle w:val="[Normal]"/>
              <w:rPr>
                <w:sz w:val="20"/>
                <w:lang w:val="de-DE" w:eastAsia="de-DE" w:bidi="de-DE"/>
              </w:rPr>
            </w:pPr>
          </w:p>
        </w:tc>
        <w:tc>
          <w:tcPr>
            <w:tcW w:w="1412"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tcBorders>
            <w:shd w:val="clear" w:color="auto" w:fill="auto"/>
            <w:vAlign w:val="top"/>
          </w:tcPr>
          <w:p>
            <w:pPr>
              <w:pStyle w:val="[Normal]"/>
              <w:rPr>
                <w:sz w:val="20"/>
                <w:lang w:val="de-DE" w:eastAsia="de-DE" w:bidi="de-DE"/>
              </w:rPr>
            </w:pPr>
          </w:p>
        </w:tc>
        <w:tc>
          <w:tcPr>
            <w:tcW w:w="101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P 52 READY</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3.16.1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Grundieren von Wand- und Bodenflächen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Aufbringen einer schnell-trocknenden, sehr emissionsarmen (EMICODE EC 1 Plus &amp; Blauer Engel) und Lösemittel-freien Kunstharzdispersions-Grundierung auf saugfähigen Untergründen (wie z.B. CT- und CA-Estriche, Betone, Putze, Mauerwerk, Trockenbaustoffe u. a.) als Vorbehandlung für die nachfolgende Aufnahme von zementär oder gipsgebundenen Spachtelmassen sowie Dünnbettmörtel- bzw. Verbundabdichtungssystemen.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Hemmt das Saugverhalten des Untergrundes.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Dabei ist Pfützenbildung zu vermeiden. Vor den Folgearbeiten ist die Grundierung vollständig trocknen zu lassen.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P 52 READY Gebrauchsfertige Grundierung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2" w:name="LT_143726"/>
      <w:bookmarkEnd w:id="2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3.16 Produkt P 52 READY</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97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9" name="_tx_id_19_"/>
                  <a:graphic xmlns:a="http://schemas.openxmlformats.org/drawingml/2006/main">
                    <a:graphicData uri="http://schemas.openxmlformats.org/drawingml/2006/picture">
                      <pic:pic xmlns:pic="http://schemas.openxmlformats.org/drawingml/2006/picture">
                        <pic:nvPicPr>
                          <pic:cNvPr id="0" name="Image 19"/>
                          <pic:cNvPicPr>
                            <a:picLocks noMove="1" noResize="1"/>
                          </pic:cNvPicPr>
                        </pic:nvPicPr>
                        <pic:blipFill>
                          <a:blip r:embed="rId0002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18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3.17</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P 82</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3.17.1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Grundieren des vorbereiteten Gussasphaltestrichs</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Aufbringen einer lösemittelfreien, reaktiven und haftaktiven Zweikomponenten-Kunstharzdispersion auf dem alten und vorbereiteten Gussasphaltestrich. Dabei ist Pfützenbildung zu vermeiden.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Vor den Folgearbeiten ist die Grundierung vollständig trocknen zu lassen.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P 82 Kunstharz-Voranstrich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3" w:name="LT_143728"/>
      <w:bookmarkEnd w:id="2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3.17.2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Grundieren des vorbereiteten Holzuntergrundes</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Aufbringen einer lösemittelfreien, reaktiven und haftaktiven Zweikomponenten-Kunstharzdispersion auf glatten und dichten Untergründen (wie z.B. alten Gussasphaltböden, Spanplatten, Kunststoffbeschichtungen) zur Aufnahme von Spachtelmassen und Dünnbettmörtel. Dabei ist Pfützenbildung zu vermeiden. Vor den Folgearbeiten ist die Grundierung vollständig trocknen zu lassen.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P 82 Kunstharz-Voranstrich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4" w:name="LT_143729"/>
      <w:bookmarkEnd w:id="2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3.17 Produkt P 82</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479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0" name="_tx_id_20_"/>
                  <a:graphic xmlns:a="http://schemas.openxmlformats.org/drawingml/2006/main">
                    <a:graphicData uri="http://schemas.openxmlformats.org/drawingml/2006/picture">
                      <pic:pic xmlns:pic="http://schemas.openxmlformats.org/drawingml/2006/picture">
                        <pic:nvPicPr>
                          <pic:cNvPr id="0" name="Image 20"/>
                          <pic:cNvPicPr>
                            <a:picLocks noMove="1" noResize="1"/>
                          </pic:cNvPicPr>
                        </pic:nvPicPr>
                        <pic:blipFill>
                          <a:blip r:embed="rId0002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19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3.18</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EP 2000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3.18.1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Grundieren der vorbereiteten Bodenfläche</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Aufbringen einer sehr emissionsarmen (EMICODE EC 1 Plus), lösemittelfreien, niedrig viskosen, wasserfesten, frost- und witterungsbeständigen Epoxidharzgrundierung auf die vorbereitete Bodenfläche. Dabei ist Pfützenbildung zu vermeiden. Im frischen Zustand ist die Grundierung vollsatt mit Quarzsand abzustreuen. Vor den Folgearbeiten ist die Grundierung vollständig trocknen zu lassen.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Inkl. abkehren und absaugen des überschüssigen, nicht eingebundene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2000 Multifunktionales Epoxidharz</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QS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5" w:name="LT_143731"/>
      <w:bookmarkEnd w:id="2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3.18.2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Grundieren von Wand- und Bodenflächen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Aufbringen einer sehr emissionsarmen (EMICODE EC 1 Plus), lösemittelfreien, niedrig viskosen, wasserfesten, frost- und witterungsbeständigen Epoxidharzgrundierung auf die vorbereitete Bodenfläche. Dabei ist Pfützenbildung zu vermeiden.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Zur Haftvermittlung für die Aufnahme folgender Arbeitsgänge wird die Epoxidharzgrundierung mit gefüllter Grundierung auf Dispersionsbasis überarbeitet. Vor den Folgearbeiten ist die Grundierung vollständig trocknen zu lassen.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2000 Multifunktionales Epoxidharz</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P4 READY Gebrauchsfertige und schnelle Multifunktions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grundierung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6" w:name="LT_143732"/>
      <w:bookmarkEnd w:id="2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3.18.3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Epoxidharz gebundene Haftbrücke aufbringen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Einbauen einer sehr emissionsarmen (EMICODE EC 1 Plus), lösemittelfreien, niedrig viskosen, wasserfesten, frost- und witterungsbeständigen Epoxidharz-Haftbrücke auf die vorbereitete Bodenfläche. Dabei ist Pfützenbildung zu vermeiden. Die Haftschlämme auf den vorbereiteten Untergrund (frei von Schmutz, Staub und anderen Trennmitteln; evtl. vorhandene Risse mit geeigneten Produkten kraftschlüssig verharzen) mittels geeigneter Kurzflorrolle aufbringen.</w:t>
            </w:r>
          </w:p>
        </w:tc>
        <w:tc>
          <w:tcPr>
            <w:tcW w:w="1700" w:type="dxa"/>
            <w:shd w:val="clear" w:color="auto" w:fill="auto"/>
            <w:vAlign w:val="top"/>
          </w:tcPr>
          <w:p>
            <w:pPr>
              <w:pStyle w:val="[Normal]"/>
              <w:rPr>
                <w:sz w:val="20"/>
                <w:lang w:val="de-DE" w:eastAsia="de-DE" w:bidi="de-DE"/>
              </w:rPr>
            </w:pPr>
          </w:p>
        </w:tc>
      </w:tr>
    </w:tbl>
    <w:p>
      <w:pPr>
        <w:pStyle w:val="[Normal]"/>
        <w:spacing w:before="51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1" name="_tx_id_21_"/>
                  <a:graphic xmlns:a="http://schemas.openxmlformats.org/drawingml/2006/main">
                    <a:graphicData uri="http://schemas.openxmlformats.org/drawingml/2006/picture">
                      <pic:pic xmlns:pic="http://schemas.openxmlformats.org/drawingml/2006/picture">
                        <pic:nvPicPr>
                          <pic:cNvPr id="0" name="Image 21"/>
                          <pic:cNvPicPr>
                            <a:picLocks noMove="1" noResize="1"/>
                          </pic:cNvPicPr>
                        </pic:nvPicPr>
                        <pic:blipFill>
                          <a:blip r:embed="rId0002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20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tcBorders>
            <w:shd w:val="clear" w:color="auto" w:fill="auto"/>
            <w:vAlign w:val="top"/>
          </w:tcPr>
          <w:p>
            <w:pPr>
              <w:pStyle w:val="[Normal]"/>
              <w:rPr>
                <w:sz w:val="20"/>
                <w:lang w:val="de-DE" w:eastAsia="de-DE" w:bidi="de-DE"/>
              </w:rPr>
            </w:pPr>
          </w:p>
        </w:tc>
        <w:tc>
          <w:tcPr>
            <w:tcW w:w="2829"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tcBorders>
            <w:shd w:val="clear" w:color="auto" w:fill="auto"/>
            <w:vAlign w:val="top"/>
          </w:tcPr>
          <w:p>
            <w:pPr>
              <w:pStyle w:val="[Normal]"/>
              <w:rPr>
                <w:sz w:val="20"/>
                <w:lang w:val="de-DE" w:eastAsia="de-DE" w:bidi="de-DE"/>
              </w:rPr>
            </w:pPr>
          </w:p>
        </w:tc>
        <w:tc>
          <w:tcPr>
            <w:tcW w:w="1412"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tcBorders>
            <w:shd w:val="clear" w:color="auto" w:fill="auto"/>
            <w:vAlign w:val="top"/>
          </w:tcPr>
          <w:p>
            <w:pPr>
              <w:pStyle w:val="[Normal]"/>
              <w:rPr>
                <w:sz w:val="20"/>
                <w:lang w:val="de-DE" w:eastAsia="de-DE" w:bidi="de-DE"/>
              </w:rPr>
            </w:pPr>
          </w:p>
        </w:tc>
        <w:tc>
          <w:tcPr>
            <w:tcW w:w="101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Anschließend wird der Zementverbundestrich frisch in frisch eingebaut.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2000 Multifunktionales Epoxidharz</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7" w:name="LT_143733"/>
      <w:bookmarkEnd w:id="2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3.18.4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Absperren des vorbereiteten Bodenfläche vor aufsteigender Restfeuchte bis max. 8 CM-Prozent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zweimaliges Auftragen einer sehr emissionsarmen (EMICODE EC 1 Plus), lösemittelfreien, niedrig viskosen, wasserfesten, frost- und witterungsbeständigen Epoxidharzgrundierung auf die in den Vorpositionen beschriebenen Bodenfläche. Jeder Auftrag ist mit mindestens 300 g/m² im kreuzgang auszuführen. Dabei ist Pfützenbildung zu vermeiden. Der zweite Auftrag ist frühstens 8 Stunden nach dem ersten auszuführen und im frischen Zustand vollsatt mit Quarzsand abzustreuen. Vor den Folgearbeiten ist die Absperrung vollständig trocknen zu lassen.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Inkl. abkehren und absaugen des überschüssigen, nicht eingebundene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2000 Multifunktionales Epoxidharz</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QS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8" w:name="LT_143734"/>
      <w:bookmarkEnd w:id="2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3.18.5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Haftbrücke auf Metallflanschen der Rinnen und Abläufe herstellen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Reinigen der Metallflansche von Fetten und sonstigen Trennmitteln.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Aufbringen des sehr emissionsarmen (EMICODE EC 1 Plus), lösemittelfreien, niedrig viskosen, wasserfesten, frost- und witterungsbeständigen Epoxidharzes auf die vorbereiteten Flansche. Im frischen Zustand vollsatt mit Quarzsand abstreuen. Vor den Folgearbeiten ist die Grundierung vollständig trocknen zu lassen.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Inkl. abkehren und absaugen des überschüssigen, nicht eingebundene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2000 Multifunktionales Epoxidharz</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QS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9" w:name="LT_143735"/>
      <w:bookmarkEnd w:id="2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p>
      <w:pPr>
        <w:pStyle w:val="[Normal]"/>
        <w:spacing w:before="68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p>
      <w:pPr>
        <w:pStyle w:val="[Normal]"/>
        <w:pageBreakBefore/>
        <w:rPr>
          <w:sz w:val="2"/>
          <w:lang w:val="de-DE" w:eastAsia="de-DE" w:bidi="de-DE"/>
        </w:rPr>
      </w:pPr>
      <w:r>
        <w:rPr>
          <w:sz w:val="2"/>
          <w:lang w:val="de-DE" w:eastAsia="de-DE" w:bidi="de-DE"/>
        </w:rPr>
        <w:t xml:space="preserve">   </w:t>
      </w: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2" name="_tx_id_22_"/>
                  <a:graphic xmlns:a="http://schemas.openxmlformats.org/drawingml/2006/main">
                    <a:graphicData uri="http://schemas.openxmlformats.org/drawingml/2006/picture">
                      <pic:pic xmlns:pic="http://schemas.openxmlformats.org/drawingml/2006/picture">
                        <pic:nvPicPr>
                          <pic:cNvPr id="0" name="Image 22"/>
                          <pic:cNvPicPr>
                            <a:picLocks noMove="1" noResize="1"/>
                          </pic:cNvPicPr>
                        </pic:nvPicPr>
                        <pic:blipFill>
                          <a:blip r:embed="rId0002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21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Normal]"/>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3.18.6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Einschnitt an Rinnen, Winkeln, etc.</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tcBorders>
              <w:bottom w:val="nil"/>
            </w:tcBorders>
            <w:shd w:val="clear" w:color="auto" w:fill="auto"/>
            <w:vAlign w:val="top"/>
          </w:tcPr>
          <w:p>
            <w:pPr>
              <w:pStyle w:val="[Normal]"/>
              <w:rPr>
                <w:sz w:val="20"/>
                <w:lang w:val="de-DE" w:eastAsia="de-DE" w:bidi="de-DE"/>
              </w:rPr>
            </w:pPr>
          </w:p>
        </w:tc>
        <w:tc>
          <w:tcPr>
            <w:tcW w:w="7082" w:type="dxa"/>
            <w:tcBorders>
              <w:bottom w:val="nil"/>
            </w:tcBorders>
            <w:shd w:val="clear" w:color="auto" w:fill="auto"/>
            <w:vAlign w:val="top"/>
          </w:tcPr>
          <w:p>
            <w:pPr>
              <w:pStyle w:val="MPos"/>
              <w:spacing w:after="170"/>
              <w:rPr>
                <w:lang w:val="de-DE" w:eastAsia="de-DE" w:bidi="de-DE"/>
              </w:rPr>
            </w:pPr>
            <w:r>
              <w:rPr>
                <w:b w:val="off"/>
                <w:lang w:val="de-DE" w:eastAsia="de-DE" w:bidi="de-DE"/>
              </w:rPr>
              <w:t xml:space="preserve">Estrich an Stahlwinkel der Grube sowie an Tor und Tür mit geeignetem Gerät ca. 20-30 mm einschneiden (Schrägschnitt) und Keil ausbrechen und entsorgen. </w:t>
            </w:r>
          </w:p>
        </w:tc>
        <w:tc>
          <w:tcPr>
            <w:tcW w:w="1700" w:type="dxa"/>
            <w:tcBorders>
              <w:bottom w:val="nil"/>
            </w:tcBorders>
            <w:shd w:val="clear" w:color="auto" w:fill="auto"/>
            <w:vAlign w:val="top"/>
          </w:tcPr>
          <w:p>
            <w:pPr>
              <w:pStyle w:val="[Normal]"/>
              <w:rPr>
                <w:sz w:val="20"/>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tcBorders>
              <w:top w:val="nil"/>
            </w:tcBorders>
            <w:shd w:val="clear" w:color="auto" w:fill="auto"/>
            <w:vAlign w:val="top"/>
          </w:tcPr>
          <w:p>
            <w:pPr>
              <w:pStyle w:val="[Normal]"/>
              <w:rPr>
                <w:sz w:val="20"/>
                <w:lang w:val="de-DE" w:eastAsia="de-DE" w:bidi="de-DE"/>
              </w:rPr>
            </w:pPr>
          </w:p>
        </w:tc>
        <w:tc>
          <w:tcPr>
            <w:tcW w:w="1412" w:type="dxa"/>
            <w:tcBorders>
              <w:top w:val="nil"/>
            </w:tcBorders>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tcBorders>
              <w:top w:val="nil"/>
            </w:tcBorders>
            <w:shd w:val="clear" w:color="auto" w:fill="auto"/>
            <w:vAlign w:val="top"/>
          </w:tcPr>
          <w:p>
            <w:pPr>
              <w:pStyle w:val="[Normal]"/>
              <w:rPr>
                <w:sz w:val="20"/>
                <w:lang w:val="de-DE" w:eastAsia="de-DE" w:bidi="de-DE"/>
              </w:rPr>
            </w:pPr>
          </w:p>
        </w:tc>
        <w:tc>
          <w:tcPr>
            <w:tcW w:w="101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3.18.7</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Verguss Epoximörtel</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Estrichausschnitte / Keilausschnitte an Rinne / Schiene / Winkel, etc. säubern und mit einem emissionsarmen Epoxidharzmörtel ausgießen, einschließlich evtl. Nachgießen und absanden mit Quarzsand.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Anforderungen der Qualitätsstufe 4 nach DGNB ENV1.2 sind zu beachten.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2000 Multifunktionales Epoxidharz</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QS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0" w:name="LT_143737"/>
      <w:bookmarkEnd w:id="3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3.18.8</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Kapillarbrechender Verguss der Einbauteile und Aussparungen (Boden)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Kapillarbrechenden Verguss herstellen durch Verfüllen der Aussparung mit einem Mörtel aus einem sehr emissionsarmen (EMICODE EC 1 Plus R), lösemittelfreien, niedrig viskosen, wasserfesten Epoxidharz und feuergetrocknetem Quarzsand im Mischungsverhältnis 1 : 2.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Oberfläche des Vergusses absanden.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2000 Multifunktionales Epoxidharz</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QS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1" w:name="LT_143738"/>
      <w:bookmarkEnd w:id="3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lang w:val="de-DE" w:eastAsia="de-DE" w:bidi="de-DE"/>
              </w:rPr>
            </w:pP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3.18.9</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Risse kraftschlüssig verharzen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Risse, Arbeitsansatzfugen, vorhandene Sollbruchstellen und evtl. vorhandene Schwundrisse erweitern, lose Teile entfernen und ca. alle 20-25 cm quer zur Fuge bzw. zum Riss bis max. 2/3 der Estrichdicke einschneiden, mit Industriestaubsauger gründlich absaugen und mit einem sehr emissionsarmen (EMICODE EC 1 Plus), lösemittelfreien und hoch fließfähigen 2-Komponenten Epoxidharz kraftschlüssig unter Einlegen von Wellenbindern schließen. Frisches Epoxidharz an der Oberfläche bündig abziehen und mit Quarzsand der Körnung 0,3 bis 0,6 mm vollsatt abstreuen. Nach vollständiger Erhärtung des 2-K-Harzes überschüssigen nicht eingebundenen Quarzsand vollständig entfernen.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Normal]"/>
        <w:spacing w:before="65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3" name="_tx_id_23_"/>
                  <a:graphic xmlns:a="http://schemas.openxmlformats.org/drawingml/2006/main">
                    <a:graphicData uri="http://schemas.openxmlformats.org/drawingml/2006/picture">
                      <pic:pic xmlns:pic="http://schemas.openxmlformats.org/drawingml/2006/picture">
                        <pic:nvPicPr>
                          <pic:cNvPr id="0" name="Image 23"/>
                          <pic:cNvPicPr>
                            <a:picLocks noMove="1" noResize="1"/>
                          </pic:cNvPicPr>
                        </pic:nvPicPr>
                        <pic:blipFill>
                          <a:blip r:embed="rId0002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22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2000 Multifunktionales Epoxidharz</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QS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2" w:name="LT_143739"/>
      <w:bookmarkEnd w:id="3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3.18 Produkt EP 2000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981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4" name="_tx_id_24_"/>
                  <a:graphic xmlns:a="http://schemas.openxmlformats.org/drawingml/2006/main">
                    <a:graphicData uri="http://schemas.openxmlformats.org/drawingml/2006/picture">
                      <pic:pic xmlns:pic="http://schemas.openxmlformats.org/drawingml/2006/picture">
                        <pic:nvPicPr>
                          <pic:cNvPr id="0" name="Image 24"/>
                          <pic:cNvPicPr>
                            <a:picLocks noMove="1" noResize="1"/>
                          </pic:cNvPicPr>
                        </pic:nvPicPr>
                        <pic:blipFill>
                          <a:blip r:embed="rId0002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23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bottom w:val="nil"/>
            </w:tcBorders>
            <w:shd w:val="clear" w:color="auto" w:fill="auto"/>
            <w:vAlign w:val="top"/>
          </w:tcPr>
          <w:p>
            <w:pPr>
              <w:pStyle w:val="[Normal]"/>
              <w:rPr>
                <w:sz w:val="20"/>
                <w:lang w:val="de-DE" w:eastAsia="de-DE" w:bidi="de-DE"/>
              </w:rPr>
            </w:pPr>
          </w:p>
        </w:tc>
        <w:tc>
          <w:tcPr>
            <w:tcW w:w="2829"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bottom w:val="nil"/>
            </w:tcBorders>
            <w:shd w:val="clear" w:color="auto" w:fill="auto"/>
            <w:vAlign w:val="top"/>
          </w:tcPr>
          <w:p>
            <w:pPr>
              <w:pStyle w:val="[Normal]"/>
              <w:rPr>
                <w:sz w:val="20"/>
                <w:lang w:val="de-DE" w:eastAsia="de-DE" w:bidi="de-DE"/>
              </w:rPr>
            </w:pPr>
          </w:p>
        </w:tc>
        <w:tc>
          <w:tcPr>
            <w:tcW w:w="1412"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bottom w:val="nil"/>
            </w:tcBorders>
            <w:shd w:val="clear" w:color="auto" w:fill="auto"/>
            <w:vAlign w:val="top"/>
          </w:tcPr>
          <w:p>
            <w:pPr>
              <w:pStyle w:val="[Normal]"/>
              <w:rPr>
                <w:sz w:val="20"/>
                <w:lang w:val="de-DE" w:eastAsia="de-DE" w:bidi="de-DE"/>
              </w:rPr>
            </w:pPr>
          </w:p>
        </w:tc>
        <w:tc>
          <w:tcPr>
            <w:tcW w:w="1015"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bottom w:val="nil"/>
            </w:tcBorders>
            <w:shd w:val="clear" w:color="auto" w:fill="auto"/>
            <w:vAlign w:val="top"/>
          </w:tcPr>
          <w:p>
            <w:pPr>
              <w:pStyle w:val="[Normal]"/>
              <w:rPr>
                <w:sz w:val="20"/>
                <w:lang w:val="de-DE" w:eastAsia="de-DE" w:bidi="de-DE"/>
              </w:rPr>
            </w:pPr>
          </w:p>
        </w:tc>
        <w:tc>
          <w:tcPr>
            <w:tcW w:w="1695"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bottom w:val="nil"/>
            </w:tcBorders>
            <w:shd w:val="clear" w:color="auto" w:fill="auto"/>
            <w:vAlign w:val="top"/>
          </w:tcPr>
          <w:p>
            <w:pPr>
              <w:pStyle w:val="[Normal]"/>
              <w:rPr>
                <w:sz w:val="20"/>
                <w:lang w:val="de-DE" w:eastAsia="de-DE" w:bidi="de-DE"/>
              </w:rPr>
            </w:pPr>
          </w:p>
        </w:tc>
        <w:tc>
          <w:tcPr>
            <w:tcW w:w="1695"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3.19</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EP 2001</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3.19.1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Grundieren von vorbereiteten Boden- und Wandflächen (Abgesandet)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Aufbringen eines standfesten, sehr emissionsarmen (EMICODE EC 1 Plus), lösemittelfreien, wasserfesten, frost- und witterungsbeständigen Epoxidharz auf die vorbereitete Boden- und Wandfläche.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Im frischen Zustand ist die Grundierung vollsatt mit Quarzsand abzustreuen. Vor den Folgearbeiten ist die Grundierung vollständig trocknen zu lassen.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Inkl. abkehren und absaugen des überschüssigen, nicht eingebundene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2001 Standfestes Epoxidharz</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QS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3" w:name="LT_143741"/>
      <w:bookmarkEnd w:id="3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3.19.2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Grundieren von vorbereiteten Boden- und Wandflächen (P4 READY)</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Aufbringen eines standfesten, sehr emissionsarmen (EMICODE EC 1 PLUS), lösemittelfreien, wasserfesten, frost- und witterungsbeständigen Epoxidharz auf die vorbereitete Boden- und Wandfläche.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Zur Haftvermittlung für die Aufnahme folgender Arbeitsgänge wird die Epoxidharzgrundierung mit gefüllter Grundierung auf Dispersionsbasis überarbeitet. Vor den Folgearbeiten ist die Grundierung vollständig trocknen zu lassen.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2001 Standfestes Epoxidharz</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P4 READY Gebrauchsfertige und schnelle Multifunktions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grundierung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4" w:name="LT_143742"/>
      <w:bookmarkEnd w:id="3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3.19.3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Absperren des vorbereiteten Bodenfläche vor aufsteigender Restfeuchte bis max. 8 CM-Prozent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zweimaliges Auftragen eines standfesten, sehr emissionsarmen (EMICODE EC 1 Plus), lösemittelfreien, wasserfesten, frost- und witterungsbeständigen Epoxidharzes auf die in den Vorpositionen beschriebenen Bodenfläche. Jeder Auftrag ist mit mindestens 300 g/m² im kreuzgang auszuführen. Der zweite Auftrag ist frühstens 6 und spätestens nach 48 Stunden nach dem ersten auszuführen und im frischen Zustand vollsatt mit Quarzsand abzustreuen.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Vor den Folgearbeiten ist die Absperrung vollständig trocknen zu lassen.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sz w:val="2"/>
          <w:lang w:val="de-DE" w:eastAsia="de-DE" w:bidi="de-DE"/>
        </w:rPr>
      </w:pPr>
      <w:r>
        <w:rPr>
          <w:b w:val="off"/>
          <w:lang w:val="de-DE" w:eastAsia="de-DE" w:bidi="de-DE"/>
        </w:rPr>
        <w:t xml:space="preserve">Inkl. abkehren und absaugen des überschüssigen, nicht eingebundene </w:t>
      </w:r>
    </w:p>
    <w:p>
      <w:pPr>
        <w:pStyle w:val="[Normal]"/>
        <w:spacing w:before="27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5" name="_tx_id_25_"/>
                  <a:graphic xmlns:a="http://schemas.openxmlformats.org/drawingml/2006/main">
                    <a:graphicData uri="http://schemas.openxmlformats.org/drawingml/2006/picture">
                      <pic:pic xmlns:pic="http://schemas.openxmlformats.org/drawingml/2006/picture">
                        <pic:nvPicPr>
                          <pic:cNvPr id="0" name="Image 25"/>
                          <pic:cNvPicPr>
                            <a:picLocks noMove="1" noResize="1"/>
                          </pic:cNvPicPr>
                        </pic:nvPicPr>
                        <pic:blipFill>
                          <a:blip r:embed="rId0002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24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2001 Standfestes Epoxidharz</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QS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5" w:name="LT_143743"/>
      <w:bookmarkEnd w:id="3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3.19.4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Haftbrücke auf Metallflanschen der Rinnen und Abläufe herstellen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Reinigen der Metallflansche von Fetten und sonstigen Trennmitteln.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Aufbringen des standfesten, sehr emissionsarmen (EMICODE EC 1 Plus), lösemittelfreien, wasserfesten, frost- und witterungsbeständigen Epoxidharzes auf die vorbereiteten Flansche. Im frischen Zustand vollsatt mit Quarzsand abstreuen. Vor den Folgearbeiten ist die Grundierung vollständig trocknen zu lassen.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Inkl. abkehren und absaugen des überschüssigen, nicht eingebundene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2001 Standfestes Epoxidharz</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QS Quarzsand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6" w:name="LT_143744"/>
      <w:bookmarkEnd w:id="3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3.19 Produkt EP 2001</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3 Produktgruppe 3 Untergrundvorbereitung</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421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6" name="_tx_id_26_"/>
                  <a:graphic xmlns:a="http://schemas.openxmlformats.org/drawingml/2006/main">
                    <a:graphicData uri="http://schemas.openxmlformats.org/drawingml/2006/picture">
                      <pic:pic xmlns:pic="http://schemas.openxmlformats.org/drawingml/2006/picture">
                        <pic:nvPicPr>
                          <pic:cNvPr id="0" name="Image 26"/>
                          <pic:cNvPicPr>
                            <a:picLocks noMove="1" noResize="1"/>
                          </pic:cNvPicPr>
                        </pic:nvPicPr>
                        <pic:blipFill>
                          <a:blip r:embed="rId0002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25 / 25</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r>
        <w:tc>
          <w:tcPr>
            <w:tcW w:w="10483" w:type="dxa"/>
            <w:tcBorders>
              <w:top w:val="single" w:sz="4" w:space="0" w:color="auto"/>
            </w:tcBorders>
            <w:shd w:val="clear" w:color="auto" w:fill="auto"/>
            <w:tcMar>
              <w:top w:w="36" w:type="dxa"/>
            </w:tcMar>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color="auto" w:fill="auto"/>
            <w:vAlign w:val="top"/>
          </w:tcPr>
          <w:p>
            <w:pPr>
              <w:pStyle w:val="[Normal]"/>
              <w:jc w:val="center"/>
              <w:rPr>
                <w:b/>
                <w:sz w:val="20"/>
                <w:lang w:val="de-DE" w:eastAsia="de-DE" w:bidi="de-DE"/>
              </w:rPr>
            </w:pPr>
            <w:r>
              <w:rPr>
                <w:b/>
                <w:sz w:val="20"/>
                <w:lang w:val="de-DE" w:eastAsia="de-DE" w:bidi="de-DE"/>
              </w:rPr>
              <w:t xml:space="preserve">Zusammenstellung</w:t>
            </w:r>
          </w:p>
        </w:tc>
        <w:tc>
          <w:tcPr>
            <w:tcW w:w="4" w:type="dxa"/>
            <w:shd w:val="clear" w:color="auto" w:fill="auto"/>
            <w:vAlign w:val="top"/>
          </w:tcPr>
          <w:p>
            <w:pPr>
              <w:pStyle w:val="[Normal]"/>
              <w:rPr>
                <w:sz w:val="20"/>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FB</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P 4 READY</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PU 5</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3.4</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P 6 READY</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3.5</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P 10 SR</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3.6</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TP 10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3.7</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P 21</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3.8</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PU 30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3.9</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DS 30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3.10</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DS 40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P 45 READY</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TP 50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P 51</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3.14</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P 51 READY</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3.15</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P 52</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3.16</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P 52 READY</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3.17</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P 82</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3.18</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EP 2000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3.19</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EP 2001</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367"/>
        <w:gridCol w:w="1695"/>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Produktgruppe 3 Untergrundvorbereitung</w:t>
            </w:r>
          </w:p>
        </w:tc>
        <w:tc>
          <w:tcPr>
            <w:tcW w:w="1367"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57"/>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Summe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zzgl. MwSt  ......... %</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Gesamtsumme</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p>
      <w:pPr>
        <w:pStyle w:val="[Normal]"/>
        <w:spacing w:before="290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sectPr>
      <w:pgSz w:w="11906" w:h="16838"/>
      <w:pgMar w:top="567" w:right="283" w:bottom="567" w:left="85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NewsGotT">
    <w:charset w:val="00"/>
    <w:family w:val="auto"/>
    <w:pitch w:val="variable"/>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1.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Normal">
    <w:name w:val="Normal"/>
    <w:next w:val="Normal"/>
    <w:qFormat/>
    <w:pPr>
      <w:widowControl w:val="off"/>
      <w:shd w:val="clear" w:color="auto" w:fill="auto"/>
      <w:spacing w:before="0" w:after="0" w:line="240" w:lineRule="auto"/>
      <w:ind w:left="0" w:right="0" w:firstLine="0"/>
      <w:jc w:val="left"/>
    </w:pPr>
    <w:rPr>
      <w:rFonts w:ascii="NewsGotT" w:hAnsi="NewsGotT" w:eastAsia="NewsGotT" w:cs="NewsGotT"/>
      <w:b w:val="off"/>
      <w:bCs w:val="off"/>
      <w:i w:val="off"/>
      <w:iCs w:val="off"/>
      <w:strike w:val="off"/>
      <w:color w:val="auto"/>
      <w:position w:val="0"/>
      <w:sz w:val="24"/>
      <w:szCs w:val="24"/>
      <w:shd w:val="clear" w:color="auto" w:fill="auto"/>
      <w:rtl w:val="off"/>
      <w:lang w:val="x-none" w:eastAsia="x-none" w:bidi="x-none"/>
    </w:rPr>
  </w:style>
  <w:style w:type="character" w:styleId="Hyperlink">
    <w:name w:val="Hyperlink"/>
    <w:qFormat/>
    <w:rPr>
      <w:color w:val="0000FF"/>
      <w:u w:val="single"/>
      <w:rtl w:val="off"/>
      <w:lang w:val="x-none" w:eastAsia="x-none" w:bidi="x-none"/>
    </w:rPr>
  </w:style>
  <w:style w:type="paragraph" w:styleId="Stufe">
    <w:name w:val="Stufe"/>
    <w:basedOn w:val="[Normal]"/>
    <w:next w:val="Stufe"/>
    <w:qFormat/>
    <w:pPr/>
    <w:rPr>
      <w:b/>
      <w:bCs/>
      <w:sz w:val="20"/>
      <w:szCs w:val="20"/>
    </w:rPr>
  </w:style>
  <w:style w:type="paragraph" w:styleId="MPos">
    <w:name w:val="MPos"/>
    <w:basedOn w:val="[Normal]"/>
    <w:next w:val="MPos"/>
    <w:qFormat/>
    <w:pPr/>
    <w:rPr>
      <w:b/>
      <w:bCs/>
      <w:sz w:val="20"/>
      <w:szCs w:val="20"/>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image" Target="media/image0001.jpg"/>
	<Relationship Id="rId00004" Type="http://schemas.openxmlformats.org/officeDocument/2006/relationships/image" Target="media/image0002.jpg"/>
	<Relationship Id="rId00005" Type="http://schemas.openxmlformats.org/officeDocument/2006/relationships/image" Target="media/image0003.jpg"/>
	<Relationship Id="rId00006" Type="http://schemas.openxmlformats.org/officeDocument/2006/relationships/image" Target="media/image0004.jpg"/>
	<Relationship Id="rId00007" Type="http://schemas.openxmlformats.org/officeDocument/2006/relationships/image" Target="media/image0005.jpg"/>
	<Relationship Id="rId00008" Type="http://schemas.openxmlformats.org/officeDocument/2006/relationships/image" Target="media/image0006.jpg"/>
	<Relationship Id="rId00009" Type="http://schemas.openxmlformats.org/officeDocument/2006/relationships/image" Target="media/image0007.jpg"/>
	<Relationship Id="rId00010" Type="http://schemas.openxmlformats.org/officeDocument/2006/relationships/image" Target="media/image0008.jpg"/>
	<Relationship Id="rId00011" Type="http://schemas.openxmlformats.org/officeDocument/2006/relationships/image" Target="media/image0009.jpg"/>
	<Relationship Id="rId00012" Type="http://schemas.openxmlformats.org/officeDocument/2006/relationships/image" Target="media/image0010.jpg"/>
	<Relationship Id="rId00013" Type="http://schemas.openxmlformats.org/officeDocument/2006/relationships/image" Target="media/image0011.jpg"/>
	<Relationship Id="rId00014" Type="http://schemas.openxmlformats.org/officeDocument/2006/relationships/image" Target="media/image0012.jpg"/>
	<Relationship Id="rId00015" Type="http://schemas.openxmlformats.org/officeDocument/2006/relationships/image" Target="media/image0013.jpg"/>
	<Relationship Id="rId00016" Type="http://schemas.openxmlformats.org/officeDocument/2006/relationships/image" Target="media/image0014.jpg"/>
	<Relationship Id="rId00017" Type="http://schemas.openxmlformats.org/officeDocument/2006/relationships/image" Target="media/image0015.jpg"/>
	<Relationship Id="rId00018" Type="http://schemas.openxmlformats.org/officeDocument/2006/relationships/image" Target="media/image0016.jpg"/>
	<Relationship Id="rId00019" Type="http://schemas.openxmlformats.org/officeDocument/2006/relationships/image" Target="media/image0017.jpg"/>
	<Relationship Id="rId00020" Type="http://schemas.openxmlformats.org/officeDocument/2006/relationships/image" Target="media/image0018.jpg"/>
	<Relationship Id="rId00021" Type="http://schemas.openxmlformats.org/officeDocument/2006/relationships/image" Target="media/image0019.jpg"/>
	<Relationship Id="rId00022" Type="http://schemas.openxmlformats.org/officeDocument/2006/relationships/image" Target="media/image0020.jpg"/>
	<Relationship Id="rId00023" Type="http://schemas.openxmlformats.org/officeDocument/2006/relationships/image" Target="media/image0021.jpg"/>
	<Relationship Id="rId00024" Type="http://schemas.openxmlformats.org/officeDocument/2006/relationships/image" Target="media/image0022.jpg"/>
	<Relationship Id="rId00025" Type="http://schemas.openxmlformats.org/officeDocument/2006/relationships/image" Target="media/image0023.jpg"/>
	<Relationship Id="rId00026" Type="http://schemas.openxmlformats.org/officeDocument/2006/relationships/image" Target="media/image0024.jpg"/>
	<Relationship Id="rId00027" Type="http://schemas.openxmlformats.org/officeDocument/2006/relationships/image" Target="media/image0025.jpg"/>
	<Relationship Id="rId00028" Type="http://schemas.openxmlformats.org/officeDocument/2006/relationships/image" Target="media/image0026.jpg"/>
	<Relationship Id="rId00029" Type="http://schemas.openxmlformats.org/officeDocument/2006/relationships/fontTable" Target="fontTable.xml"/>
	<Relationship Id="rId00030" Type="http://schemas.openxmlformats.org/officeDocument/2006/relationships/settings" Target="settings.xml"/>
</Relationships>
</file>