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tcBorders>
            <w:shd w:val="clear" w:color="auto" w:fill="auto"/>
            <w:vAlign w:val="top"/>
          </w:tcPr>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lang w:val="de-DE" w:eastAsia="de-DE" w:bidi="de-DE"/>
              </w:rPr>
            </w:pPr>
            <w:r>
              <w:rPr>
                <w:b/>
                <w:lang w:val="de-DE" w:eastAsia="de-DE" w:bidi="de-DE"/>
              </w:rPr>
              <w:t xml:space="preserve">Inhaltsverzeichnis</w:t>
            </w:r>
          </w:p>
        </w:tc>
        <w:tc>
          <w:tcPr>
            <w:tcW w:w="4" w:type="dxa"/>
            <w:shd w:val="clear" w:color="auto" w:fill="auto"/>
            <w:vAlign w:val="top"/>
          </w:tcPr>
          <w:p>
            <w:pPr>
              <w:pStyle w:val="[Normal]"/>
              <w:rPr>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Produktgruppe 4 Bodenspachtelmassen.............................................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FIX.............................................................................................</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15...........................................................................................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FA 20.........................................................................................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22 F........................................................................................</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33...........................................................................................</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36...........................................................................................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39...........................................................................................</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40...........................................................................................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45...........................................................................................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45 FEIN..................................................................................</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10</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 46...........................................................................................</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11</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55...........................................................................................</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13</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60...........................................................................................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14</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80...........................................................................................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15</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CL 100.......................................................................................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16</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CL 200.......................................................................................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17</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CL 300.......................................................................................</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18</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K 301.........................................................................................</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19</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648"/>
        <w:gridCol w:w="6"/>
        <w:gridCol w:w="1128"/>
      </w:tblGrid>
      <w:tr>
        <w:tc>
          <w:tcPr>
            <w:tcW w:w="1695" w:type="dxa"/>
            <w:shd w:val="clear" w:color="auto" w:fill="auto"/>
            <w:vAlign w:val="top"/>
          </w:tcPr>
          <w:p>
            <w:pPr>
              <w:pStyle w:val="[Normal]"/>
              <w:rPr>
                <w:b/>
                <w:lang w:val="de-DE" w:eastAsia="de-DE" w:bidi="de-DE"/>
              </w:rPr>
            </w:pPr>
            <w:r>
              <w:rPr>
                <w:b/>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7648" w:type="dxa"/>
            <w:shd w:val="clear" w:color="auto" w:fill="auto"/>
            <w:vAlign w:val="top"/>
          </w:tcPr>
          <w:p>
            <w:pPr>
              <w:pStyle w:val="[Normal]"/>
              <w:rPr>
                <w:b/>
                <w:lang w:val="de-DE" w:eastAsia="de-DE" w:bidi="de-DE"/>
              </w:rPr>
            </w:pPr>
            <w:r>
              <w:rPr>
                <w:b/>
                <w:lang w:val="de-DE" w:eastAsia="de-DE" w:bidi="de-DE"/>
              </w:rPr>
              <w:t xml:space="preserve">Produkt AR Glasfaser............................................................................</w:t>
            </w:r>
          </w:p>
        </w:tc>
        <w:tc>
          <w:tcPr>
            <w:tcW w:w="6" w:type="dxa"/>
            <w:shd w:val="clear" w:color="auto" w:fill="auto"/>
            <w:vAlign w:val="top"/>
          </w:tcPr>
          <w:p>
            <w:pPr>
              <w:pStyle w:val="[Normal]"/>
              <w:rPr>
                <w:sz w:val="20"/>
                <w:lang w:val="de-DE" w:eastAsia="de-DE" w:bidi="de-DE"/>
              </w:rPr>
            </w:pPr>
          </w:p>
        </w:tc>
        <w:tc>
          <w:tcPr>
            <w:tcW w:w="1128" w:type="dxa"/>
            <w:shd w:val="clear" w:color="auto" w:fill="auto"/>
            <w:vAlign w:val="top"/>
          </w:tcPr>
          <w:p>
            <w:pPr>
              <w:pStyle w:val="[Normal]"/>
              <w:jc w:val="right"/>
              <w:rPr>
                <w:sz w:val="20"/>
                <w:lang w:val="de-DE" w:eastAsia="de-DE" w:bidi="de-DE"/>
              </w:rPr>
            </w:pPr>
            <w:r>
              <w:rPr>
                <w:sz w:val="20"/>
                <w:lang w:val="de-DE" w:eastAsia="de-DE" w:bidi="de-DE"/>
              </w:rPr>
              <w:t xml:space="preserve">20</w:t>
            </w:r>
          </w:p>
        </w:tc>
      </w:tr>
    </w:tbl>
    <w:p>
      <w:pPr>
        <w:pStyle w:val="[Normal]"/>
        <w:spacing w:before="3473"/>
        <w:rPr>
          <w:sz w:val="2"/>
          <w:lang w:val="de-DE" w:eastAsia="de-DE" w:bidi="de-DE"/>
        </w:rPr>
      </w:pPr>
      <w:r>
        <w:rPr>
          <w:sz w:val="2"/>
          <w:lang w:val="de-DE" w:eastAsia="de-DE" w:bidi="de-DE"/>
        </w:rPr>
        <w:t xml:space="preserve">   </w:t>
      </w:r>
    </w:p>
    <w:tbl>
      <w:tblPr>
        <w:tblW w:w="0" w:type="auto"/>
        <w:jc w:val="left"/>
        <w:tblInd w:w="0" w:type="dxa"/>
        <w:tblBorders>
          <w:top w:val="single" w:sz="2"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rPr>
      </w:pPr>
      <w:r>
        <w:rPr>
          <w:sz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rPr>
            </w:pPr>
            <w:r>
              <w:rPr>
                <w:b/>
                <w:sz w:val="20"/>
              </w:rPr>
              <w:t xml:space="preserve">4</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c>
          <w:tcPr>
            <w:tcW w:w="7082" w:type="dxa"/>
            <w:shd w:val="clear" w:color="auto" w:fill="auto"/>
            <w:vAlign w:val="top"/>
          </w:tcPr>
          <w:p>
            <w:pPr>
              <w:pStyle w:val="Stufe"/>
            </w:pPr>
            <w:r>
              <w:rPr>
                <w:lang w:val="de-DE" w:eastAsia="de-DE" w:bidi="de-DE"/>
              </w:rPr>
              <w:t xml:space="preserve">Produktgruppe 4 Bodenspachtelmassen</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FIX</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Oberflächenbündiges Schließen der Fugen des vorhandenen Fliesenbelags</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Oberflächenbündiges Abkratzen und Schließen der Fugen des vorhandenen Fliesenbelages mit einem hydraulisch schnell erhärtenden, sehr emissionsarmen (EMICODE EC 1 Plus R), auf Null ausziehbaren, schnell trocknenden und kunststoffvergüteten Reperaturspachtel mit vollständiger kristalliner Wasserbindung (ARDURAPID-Effekt).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 w:name="LT_123171"/>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der Fugen des vorhandenen Holzuntergrundes</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Schließen der Fugen des vorhandenen Holzuntergrundes mit einem hydraulisch schnell erhärtenden, sehr emissionsarmen (EMICODE EC 1 Plus R) auf Null ausziehbaren, schnell trocknenden und kunststoffvergüteten Reperaturspachtel mit vollständiger kristalliner Wasserbindung (ARDURAPID-Effekt).</w:t>
            </w:r>
          </w:p>
        </w:tc>
        <w:tc>
          <w:tcPr>
            <w:tcW w:w="1700"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FIX Blitzspachtel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 w:name="LT_123172"/>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7081"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0"/>
                <w:lang w:val="de-DE" w:eastAsia="de-DE" w:bidi="de-DE"/>
              </w:rPr>
            </w:pPr>
            <w:r>
              <w:rPr>
                <w:b/>
                <w:sz w:val="20"/>
                <w:lang w:val="de-DE" w:eastAsia="de-DE" w:bidi="de-DE"/>
              </w:rPr>
              <w:t xml:space="preserve">4.1 Produkt FIX</w:t>
            </w:r>
          </w:p>
        </w:tc>
        <w:tc>
          <w:tcPr>
            <w:tcW w:w="6" w:type="dxa"/>
            <w:shd w:val="clear" w:color="auto" w:fill="auto"/>
            <w:vAlign w:val="top"/>
          </w:tcPr>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13"/>
        <w:rPr>
          <w:sz w:val="2"/>
          <w:lang w:val="de-DE" w:eastAsia="de-DE" w:bidi="de-DE"/>
        </w:rPr>
      </w:pPr>
      <w:r>
        <w:rPr>
          <w:sz w:val="2"/>
          <w:lang w:val="de-DE" w:eastAsia="de-DE" w:bidi="de-DE"/>
        </w:rPr>
        <w:t xml:space="preserve">   </w:t>
      </w:r>
    </w:p>
    <w:p>
      <w:pPr>
        <w:pStyle w:val="[Normal]"/>
        <w:spacing w:before="482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15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und elastischen Bodenbelägen, Fliesen und Platten sowie Parkett und als Nutzschicht in Kellern und auf Dachböden mit spannungsarmer, selbstglättender, rissefreier, schnell erhärtender und  in allen Schichtdicken am nächsten Tag trockener (ARDURAPID Effekt), schnell begehbarer, staubreduzierter, emissionsarmer (EMICODE EC 1), kunststoffvergüteter und pumpfähiger zementärer Spachtelmasse. Dazu wird die Spachtelmasse in der gewünschten Schichtdicke zwischen 1,5 – 10 mm (mit Quarzsand bis 20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15 DR Glätt- und 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3" w:name="LT_123174"/>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4.2 Produkt K 15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3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FA 20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von kritischen Untergründen zur Aufnahme von textilen und elastischen Bodenbelägen, keramischen Fliesen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Holzdielenböden, Holzspanplatten, Trockenbauelementen, Gussasphaltestrich, Alt-Untergründen mit Klebstoffresten, alten Fliesenbelägen und allen üblichen Estrichen und Untergründen im Alt- und Neubau zur Aufnahme von textilen und elastischen Bodenbelägen, keramischen Fliesen sowie Parkett mit faserarmierter (MICROTEC Technologie), rissefreier, selbst nivellierender, schnell erhärtender und  in allen Schichtdicken am nächsten Tag trockener (ARDURAPID Effekt), schnell begehbarer, sehr emissionsarmer (EMICODE EC 1 R) und kunststoffvergüteter zementärer Spachtelmasse. Dazu wird die Spachtelmasse in der gewünschten Schichtdicke zwischen 3 und 10 mm (mit Sand bis 30 mm streckbar) mit Stielglätter auf dem Untergrund aufgebracht und geglättet.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FA 20 Faserarmierte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4" w:name="LT_123176"/>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4.3 Produkt FA 20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91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4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22 F</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hochleistungsfaserverstärkter, spannungsfreier, selbstglättender, rissefreier, schnell erhärtender, schnell begehbarer, emissionsarmer (EMICODE EC 1), kunststoffvergüteter und pumpfähiger Calciumsulfat-Spachtelmasse. Dazu wird die Spachtelmasse in der gewünschten Schichtdicke zwischen 1,5 – 30 mm (mit Sand bis 50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22 F Calciumsulfat-Spachtelmasse, faserarmiert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5" w:name="LT_123178"/>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4.4 Produkt K 22 F</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5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33</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textilen und elastischen Bodenbelägen, Fliesen und Platten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textilen und elastischen Bodenbelägen, Fliesen und Platten sowie Parkett mit spannungsarmer, rissefreier, selbstglättender, stuhlrollenfester, sehr emissionsarmer (EMICODE EC 1 Plus R &amp; Blauer Engel),gut schleifbarer, kunststoffvergüteter und pumpfähiger zementärer Spachtelmasse (CT-C30-F7 nach DIN EN 13813) mit kristalliner Wasserbindung (ARDURAPID-Effekt).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 15 mm (mit Sand bis 30 mm streckbar)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30 mm.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33 Universalspachtelmasse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6" w:name="LT_123180"/>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4.5 Produkt K 33</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15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6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Verbesserung der Ebenheit zur Verlegung großformatiger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Ausgleichsspachtelung nach den erhöhten Ebenheitstoleranzen des ZDB-Merkblattes „Großformatige keramische Fliesen und Platten“ sowie der DIN 18202 mit spannungsarmer, selbst nivellierender, schnell begehbarer, emissionsarmer (EMICODE EC 1), kunststoffvergüteter und pumpfähiger zementärer Spachtelmasse (CT-C20-F6). Dazu wird die Spachtelmasse in der gewünschten Schichtdicke zwischen 3 – 30 mm in Rakeltechnik auf den vorbereiteten und sauberen Untergrund aufgebracht und geglättet. Die Spachtelmasse ist anschließend mit Fliesen zu belegen.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36 NEU Ausgleichsmasse, innen und außen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7" w:name="LT_123182"/>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4.6 Produkt K 36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7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39</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 Fliese- und Plattenbelägen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Fliesen- und Plattenbelägen sowie Parkett mit spannungsarmer, selbst nivellierender, rissfreier, stuhlrollenfester, sehr emissionsarmer (EMICODE EC 1 Plus R &amp; Blauer Engel), kunststoffvergüteter und pumpfähiger zementärer Spachtelmasse (CT-C35-F7 nach DIN EN 13813) mit langer Verlaufszeit.</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10 mm in Rakeltechnik auf den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5 mm. 2 Tage für Schichtdicken bis 10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39 Reaktivierbare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8" w:name="LT_123184"/>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4.7 Produkt K 39</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380"/>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8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40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extrem glatten und ebenen Verlegefläche zur Aufnahme von textilen und elastischen Bodenbelägen, Fliesen und Platten sowie Parkett mit zementärer Premium Bodenspachtelmasse.</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spannungsarm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sehr gut verlaufend</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rissefrei</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pumpfähig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schnell Verlegereif (ARDURAPID Effekt)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schnell begehbarer (2-3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 sehr emissionsarmer (Blauer Engel &amp; EMICODE EC 1 Plus 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 – 20 mm (mit Sand bis 30 mm streckbar)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40 Premium Bodenspachtelmasse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9" w:name="LT_123186"/>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4.8 Produkt K 40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705"/>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9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im Innenbereich, Wand und Boden, zur Aufnahme von elastischen und textilen Bodenbelägen, Fliesen- und Plattenbelägen sowie Parkett mit schnell verlegereifen, hydraulisch schnell erhärtenden und schnell trocknenden (ARDURAPID Effekt), filz- und glättbaren, rissfreien und stuhlrollenfesten, kunststoffvergüteten, zementgebundenen standfesten Mörtel (CT-C40-F7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Standfeste Füllmasse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0" w:name="LT_123188"/>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4.9 Produkt A 45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10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tcBorders>
            <w:shd w:val="clear" w:color="auto" w:fill="auto"/>
            <w:vAlign w:val="top"/>
          </w:tcPr>
          <w:p>
            <w:pPr>
              <w:pStyle w:val="[Normal]"/>
              <w:rPr>
                <w:sz w:val="20"/>
                <w:lang w:val="de-DE" w:eastAsia="de-DE" w:bidi="de-DE"/>
              </w:rPr>
            </w:pPr>
          </w:p>
        </w:tc>
        <w:tc>
          <w:tcPr>
            <w:tcW w:w="2829"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tcBorders>
            <w:shd w:val="clear" w:color="auto" w:fill="auto"/>
            <w:vAlign w:val="top"/>
          </w:tcPr>
          <w:p>
            <w:pPr>
              <w:pStyle w:val="[Normal]"/>
              <w:rPr>
                <w:sz w:val="20"/>
                <w:lang w:val="de-DE" w:eastAsia="de-DE" w:bidi="de-DE"/>
              </w:rPr>
            </w:pPr>
          </w:p>
        </w:tc>
        <w:tc>
          <w:tcPr>
            <w:tcW w:w="1412"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tcBorders>
            <w:shd w:val="clear" w:color="auto" w:fill="auto"/>
            <w:vAlign w:val="top"/>
          </w:tcPr>
          <w:p>
            <w:pPr>
              <w:pStyle w:val="[Normal]"/>
              <w:rPr>
                <w:sz w:val="20"/>
                <w:lang w:val="de-DE" w:eastAsia="de-DE" w:bidi="de-DE"/>
              </w:rPr>
            </w:pPr>
          </w:p>
        </w:tc>
        <w:tc>
          <w:tcPr>
            <w:tcW w:w="1015" w:type="dxa"/>
            <w:tcBorders>
              <w:top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tcBorders>
            <w:shd w:val="clear" w:color="auto" w:fill="auto"/>
            <w:vAlign w:val="top"/>
          </w:tcPr>
          <w:p>
            <w:pPr>
              <w:pStyle w:val="[Normal]"/>
              <w:rPr>
                <w:sz w:val="20"/>
                <w:lang w:val="de-DE" w:eastAsia="de-DE" w:bidi="de-DE"/>
              </w:rPr>
            </w:pPr>
          </w:p>
        </w:tc>
        <w:tc>
          <w:tcPr>
            <w:tcW w:w="1695" w:type="dxa"/>
            <w:tcBorders>
              <w:top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 FEIN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Standfeste Spachtelmasse, fein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1" w:name="LT_123190"/>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Feine Finish-Spachtelung auf verschiedenen Untergründen im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Feine Finish-Spachtelung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und Verlegereif für alle Beläge nach ca. 60 Minuten.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45 Standfeste Spachtelmasse, fein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2" w:name="LT_123191"/>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4.10 Produkt A 45 FEIN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3504"/>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11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46</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Außen- und Innenbereich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Füllen und Ausbessern von Löchern, Ausbrüchen und Vertiefungen bis 30 mm im Außen- und Innenbereich, Wand und Boden, zur Aufnahme von Fliesen- und Plattenbelägen, Anstrichen und Beschichtungen sowie Abdichtungen mit hydraulisch schnell erhärtendem und schnell trocknendem (ARDURAPID Plus Effekt), filz- und glättbarem, rissfreien und stuhlrollenfestem, kunststoffvergütetem, zementgebundenem standfestem Mörtel (CT-C20-F5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Zur Verwendung unter Beschichtungen und Anstrichen bei denen Haftzugfestigkeiten des Untergrundes von 1,5 N/mm² gefordert werden, ist die standfeste Spachtelmasse in 1:1 mit Wasser verdünnter ARDEX E 100 Wittener Baudispersion anzumischen.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feuchtigkeitsunempfindliche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Anstriche und Beschichtungen nach Trocknung: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5 mm ca. 2 Tage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20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Schichtdicken bis 30 mm ca. 10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oder gleichwertig     Fabrikat / Typ: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E 100 Wittener Baudispersion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3" w:name="LT_123193"/>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Gefälle- und Ausgleichsspachtelung und großformatigen Fliesen und Platten im Innen- und Außenbereich</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des erforderlichen Gefälles im Verbund z.B. im Bereich der bodengleichen Dusche bzw. Schließen von allgemeinen Lunker- und Unebenheiten zum Erreichen der Ebenheitstoleranzen nach DIN 18202 mit hydraulisch schnell erhärtender und schnell trocknender (ARDURAPID Plus Effekt), schnell begeh- und belastbaren, filz- und glättbaren, stuhlrollenfesten und standfesten Außenspachtel CT-C20-F5 nach DIN EN 13813 in den Schichtdicken von  2 - 30 mm herstellen. Material als Untergrund für das nachfolgende Verbundabdichtungssystem innerhalb der Ebenheitstoleranzen der DIN 18202 und der ZDB Fachinformation „Großformatige Keramische Fliesen und Platten“ abziehen. Schichtdicke im Mittel ______mm.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Gefälle _____%.</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Normal]"/>
        <w:spacing w:before="71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12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 A 46</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r>
              <w:rPr>
                <w:b/>
                <w:sz w:val="20"/>
                <w:lang w:val="de-DE" w:eastAsia="de-DE" w:bidi="de-DE"/>
              </w:rPr>
              <w:t xml:space="preserve">Übertrag: ....................</w:t>
            </w:r>
          </w:p>
        </w:tc>
      </w:tr>
    </w:tbl>
    <w:p>
      <w:pPr>
        <w:pStyle w:val="[Normal]"/>
        <w:rPr>
          <w:b/>
          <w:sz w:val="2"/>
          <w:lang w:val="de-DE" w:eastAsia="de-DE" w:bidi="de-DE"/>
        </w:rPr>
      </w:pPr>
      <w:r>
        <w:rPr>
          <w:b/>
          <w:sz w:val="2"/>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 46 Standfester Außenspachtel</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4" w:name="LT_123194"/>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4.11 Produkt A 46</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102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13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bottom w:val="nil"/>
            </w:tcBorders>
            <w:shd w:val="clear" w:color="auto" w:fill="auto"/>
            <w:vAlign w:val="top"/>
          </w:tcPr>
          <w:p>
            <w:pPr>
              <w:pStyle w:val="[Normal]"/>
              <w:rPr>
                <w:sz w:val="20"/>
                <w:lang w:val="de-DE" w:eastAsia="de-DE" w:bidi="de-DE"/>
              </w:rPr>
            </w:pPr>
          </w:p>
        </w:tc>
        <w:tc>
          <w:tcPr>
            <w:tcW w:w="2829"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bottom w:val="nil"/>
            </w:tcBorders>
            <w:shd w:val="clear" w:color="auto" w:fill="auto"/>
            <w:vAlign w:val="top"/>
          </w:tcPr>
          <w:p>
            <w:pPr>
              <w:pStyle w:val="[Normal]"/>
              <w:rPr>
                <w:sz w:val="20"/>
                <w:lang w:val="de-DE" w:eastAsia="de-DE" w:bidi="de-DE"/>
              </w:rPr>
            </w:pPr>
          </w:p>
        </w:tc>
        <w:tc>
          <w:tcPr>
            <w:tcW w:w="1412"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bottom w:val="nil"/>
            </w:tcBorders>
            <w:shd w:val="clear" w:color="auto" w:fill="auto"/>
            <w:vAlign w:val="top"/>
          </w:tcPr>
          <w:p>
            <w:pPr>
              <w:pStyle w:val="[Normal]"/>
              <w:rPr>
                <w:sz w:val="20"/>
                <w:lang w:val="de-DE" w:eastAsia="de-DE" w:bidi="de-DE"/>
              </w:rPr>
            </w:pPr>
          </w:p>
        </w:tc>
        <w:tc>
          <w:tcPr>
            <w:tcW w:w="1015" w:type="dxa"/>
            <w:tcBorders>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bottom w:val="nil"/>
            </w:tcBorders>
            <w:shd w:val="clear" w:color="auto" w:fill="auto"/>
            <w:vAlign w:val="top"/>
          </w:tcPr>
          <w:p>
            <w:pPr>
              <w:pStyle w:val="[Normal]"/>
              <w:rPr>
                <w:sz w:val="20"/>
                <w:lang w:val="de-DE" w:eastAsia="de-DE" w:bidi="de-DE"/>
              </w:rPr>
            </w:pPr>
          </w:p>
        </w:tc>
        <w:tc>
          <w:tcPr>
            <w:tcW w:w="1695" w:type="dxa"/>
            <w:tcBorders>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55</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schnell verlegereifen, glatten, ebenen und tragfesten Nivellierspachtelung auf Zement- und Calciumsulfatestrichen sowie anderen Untergründen zur Aufnahme von textilen und elastischen Bodenbelägen, Fliesen und Platten sowie Parkett mit schnell erhärtender und nach 60 Minuten begeh und verlegereifer (ARDURAPID Effekt), selbstglättender, emissionsarmer (EMICODE EC 1 R) und hoch kunststoffvergüteter zementärer Spachtelmasse. Dazu wird die Spachtelmasse in der gewünschten Schichtdicke zwischen 1,5 – 10 mm (ab 10 mm mit Sand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den meisten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K 55 Schnellspachtelmasse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5" w:name="LT_123196"/>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4.12 Produkt K 55</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14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60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auf kritischen Untergründen zur Aufnahme von textilen und elastischen Bodenbelägen, Fertigparkett sowie Fliesen und Platten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Metalluntergründen, Holzdielenböden, Holzspanplatten, Trockenbauelementen, Gussasphaltestrich, Alt-Untergründen mit Klebstoffresten, alten Fliesenbelägen und allen üblichen Estrichen und Untergründen im Alt- und Neubau zur Aufnahme von textilen und elastischen Bodenbelägen, Fertigparkett sowie Fliesen und Platten mit Latex-basierter, flexibler, für den Schiffsbau freigegebener (MED Modul B und D), wasser- und feuchtigkeitsbeständiger, selbst nivellierender, schnell begehbarer, stuhlrollengeeigneter, sehr emissionsarmer (EMICODE EC 1 R) zementärer Spachtelmasse. Dazu wird die Spachtelmasse in der gewünschten Schichtdicke zwischen 2 und 15 mm (mit Sand bis 30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Auf fast allen üblichen Bauuntergründen ohne Grundierung einsetzbar.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60 Ausgleichs- und Glättmasse auf Latexbasis</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6" w:name="LT_123198"/>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4.13 Produkt K 60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687"/>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15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80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der Bodenfläche zur Aufnahme einer geeigneten Beschichtung</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Nivellierspachtelung auf dem in den Vorpositionen beschriebenen Untergrund mit selbstnivellierender und selbstglättender, rissefreier, schnell erhärtender, kristallin Wasser bindender (ARDURAPID Effekt), schnell begehbarer, emissionsarmer (EMICODE EC 1 R), kunststoffvergüteter und pumpfähiger Spachtelmasse aus ternärem Schnellzement-Bindemittel zur Aufnahme einer geeigneten Beschichtung.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Mindestschichtdicke von 5 mm mittels Stiftrakel auf dem Untergrund aufgebracht und danach entlüftet und mit einem Stilglätter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7" w:name="LT_123200"/>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4.14.2</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ebener Verlegeflächen zur Aufnahme von Fliesen, Naturstein sowie anderen Bodenbelägen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auf dem in den Vorpositionen beschriebenen Untergrund mit selbstnivellierender und selbstglättender, rissefreier, schnell erhärtender, kristallin Wasser bindender (ARDURAPID Effekt), schnell begehbarer, stuhlrollengeeigneter, sehr emissionsarmer (EMICODE EC 1 R), kunststoffvergüteter und pumpfähiger zementärer Spachtelmasse zur Aufnahme von Fliesen, Naturstein und anderen Bodenbelägen.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5 und 50 mm in Rakeltechnik auf dem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diffusionsoffene Beläge.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80 Dünnestrich</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8" w:name="LT_123201"/>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4.14 Produkt K 80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2373"/>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16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100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elastischen und textilen Bodenbelägen mit spannungsarmer, selbst nivellierender, rissefreier, stuhlrollenfester, gut schleifbarer, sehr emissionsarmer (EMICODE EC 1 Plus R &amp; Blauer Engel), kunststoffvergüteter und pumpfähiger zementärer Spachtelmasse (CT-C25-F6 nach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1,5 und 5 mm in Rakeltechnik auf dem in den Vorpositionen beschriebenen Untergrund aufgebracht und geglättet.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100 Objektspachtelmasse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19" w:name="LT_123203"/>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4.16 Produkt CL 100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17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200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spannungsfreier, selbstglättender, rissefreier, schnell erhärtender, schnell begehbarer, emissionsarmer (EMICODE EC 1), kunststoffvergüteter und pumpfähiger Calciumsulfat-Spachtelmasse. Dazu wird die Spachtelmasse in der gewünschten Schichtdicke zwischen 1,5 – 20 mm (mit Sand bis 30 mm streckbar) in Rakeltechnik auf dem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ARDEX CL 200 Calciumsulfat-Objektspachtelmasse          			oder gleichwertig     Fabrikat / Typ:  '........................................'</w:t>
      </w:r>
      <w:r>
        <w:rPr>
          <w:b w:val="off"/>
          <w:lang w:val="de-DE" w:eastAsia="de-DE" w:bidi="de-DE"/>
        </w:rPr>
      </w:r>
      <w:bookmarkStart w:id="20" w:name="LT_123205"/>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4.17 Produkt CL 200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836"/>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18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300</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Bodenbelägen, Fliesenbelägen, Betonwerkstein- und Natursteinplatten sowie Parkett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tragfesten Verlegefläche zur Aufnahme von Bodenbelägen, Fliesenbelägen, Betonwerkstein- und Natursteinplatten sowie Parkett mit spannungsarmer, selbstglättender, stuhlrollenfester, sehr emissionsarmer (EMICODE EC 1 Plus R), kunststoffvergüteter und pumpfähiger zementärer Spachtelmasse (CT-C30-F7 nach DIN EN 13813).</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Dazu wird die Spachtelmasse in der gewünschten Schichtdicke zwischen 2 und 20 mm in Rakeltechnik auf dem Untergrund aufgebracht und entlüftet.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Begehbarkeit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 nach ca. 1 Tag für Schichtdicken bis 10 mm. 3 Tage für Schichtdicken bis 20 mm.</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CL 300 Objekt-Ausgleichsmasse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1" w:name="LT_123207"/>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4.18 Produkt CL 300</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660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19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301</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Herstellung einer mechanisch hoch belastbaren Nutzschicht</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Herstellen einer glatten, ebenen und hoch belastbaren Ausgleichsspachtelung als Nutzschicht und/oder zur Aufnahme von Fliesen- und Plattenbelägen, Anstrichen und Beschichtungen mit hoch belastbarer, selbst nivellierender, schnell begehbarer, stuhlrollengeeigneter, frost- und tausalzbeständiger, kunststoffvergüteter und pumpfähiger zementärer Spachtelmasse (CT-C30-F7). Dazu wird die Spachtelmasse in der gewünschten Schichtdicke zwischen 2 – 15 mm in Rakeltechnik auf den vorbereiteten und sauberen Untergrund aufgebracht und geglättet. </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Begehbar bereits nach ca. 2 - 3 Stunden.</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Rutschhemmklasse nach DIN 51130: 	R 12</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Haftzugfestigkeit &gt; 1,5 N/mm² bereits nach 3 Tagen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Verlegereife: 	feuchtigkeitsunempfindliche Beläge nach 1 Tag.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Anstriche, Beschichtungen nach Trocknung</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5 mm ca. 2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10 mm ca. 5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bis 15 mm ca. 7 Tage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K 301 Außenspachtelmasse</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2" w:name="LT_123209"/>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4.19 Produkt K 301</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501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20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8782"/>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8782"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rPr>
                <w:sz w:val="6"/>
                <w:lang w:val="de-DE" w:eastAsia="de-DE" w:bidi="de-DE"/>
              </w:rPr>
            </w:pPr>
            <w:r>
              <w:rPr>
                <w:sz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Position</w:t>
            </w:r>
          </w:p>
        </w:tc>
        <w:tc>
          <w:tcPr>
            <w:tcW w:w="11" w:type="dxa"/>
            <w:tcBorders>
              <w:top w:val="nil"/>
              <w:bottom w:val="nil"/>
            </w:tcBorders>
            <w:shd w:val="clear" w:color="auto" w:fill="auto"/>
            <w:vAlign w:val="top"/>
          </w:tcPr>
          <w:p>
            <w:pPr>
              <w:pStyle w:val="[Normal]"/>
              <w:rPr>
                <w:sz w:val="20"/>
                <w:lang w:val="de-DE" w:eastAsia="de-DE" w:bidi="de-DE"/>
              </w:rPr>
            </w:pPr>
          </w:p>
        </w:tc>
        <w:tc>
          <w:tcPr>
            <w:tcW w:w="2829"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Beschreibung</w:t>
            </w:r>
          </w:p>
        </w:tc>
        <w:tc>
          <w:tcPr>
            <w:tcW w:w="6" w:type="dxa"/>
            <w:tcBorders>
              <w:top w:val="nil"/>
              <w:bottom w:val="nil"/>
            </w:tcBorders>
            <w:shd w:val="clear" w:color="auto" w:fill="auto"/>
            <w:vAlign w:val="top"/>
          </w:tcPr>
          <w:p>
            <w:pPr>
              <w:pStyle w:val="[Normal]"/>
              <w:rPr>
                <w:sz w:val="20"/>
                <w:lang w:val="de-DE" w:eastAsia="de-DE" w:bidi="de-DE"/>
              </w:rPr>
            </w:pPr>
          </w:p>
        </w:tc>
        <w:tc>
          <w:tcPr>
            <w:tcW w:w="1412"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Menge</w:t>
            </w:r>
          </w:p>
        </w:tc>
        <w:tc>
          <w:tcPr>
            <w:tcW w:w="119" w:type="dxa"/>
            <w:tcBorders>
              <w:top w:val="nil"/>
              <w:bottom w:val="nil"/>
            </w:tcBorders>
            <w:shd w:val="clear" w:color="auto" w:fill="auto"/>
            <w:vAlign w:val="top"/>
          </w:tcPr>
          <w:p>
            <w:pPr>
              <w:pStyle w:val="[Normal]"/>
              <w:rPr>
                <w:sz w:val="20"/>
                <w:lang w:val="de-DE" w:eastAsia="de-DE" w:bidi="de-DE"/>
              </w:rPr>
            </w:pPr>
          </w:p>
        </w:tc>
        <w:tc>
          <w:tcPr>
            <w:tcW w:w="1015" w:type="dxa"/>
            <w:tcBorders>
              <w:top w:val="nil"/>
              <w:bottom w:val="nil"/>
            </w:tcBorders>
            <w:shd w:val="clear" w:color="auto" w:fill="auto"/>
            <w:vAlign w:val="top"/>
          </w:tcPr>
          <w:p>
            <w:pPr>
              <w:pStyle w:val="[Normal]"/>
              <w:rPr>
                <w:b/>
                <w:sz w:val="20"/>
                <w:lang w:val="de-DE" w:eastAsia="de-DE" w:bidi="de-DE"/>
              </w:rPr>
            </w:pPr>
            <w:r>
              <w:rPr>
                <w:b/>
                <w:sz w:val="20"/>
                <w:lang w:val="de-DE" w:eastAsia="de-DE" w:bidi="de-DE"/>
              </w:rPr>
              <w:t xml:space="preserve">Einh</w:t>
            </w:r>
          </w:p>
        </w:tc>
        <w:tc>
          <w:tcPr>
            <w:tcW w:w="5"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EP</w:t>
            </w:r>
          </w:p>
        </w:tc>
        <w:tc>
          <w:tcPr>
            <w:tcW w:w="6" w:type="dxa"/>
            <w:tcBorders>
              <w:top w:val="nil"/>
              <w:bottom w:val="nil"/>
            </w:tcBorders>
            <w:shd w:val="clear" w:color="auto" w:fill="auto"/>
            <w:vAlign w:val="top"/>
          </w:tcPr>
          <w:p>
            <w:pPr>
              <w:pStyle w:val="[Normal]"/>
              <w:rPr>
                <w:sz w:val="20"/>
                <w:lang w:val="de-DE" w:eastAsia="de-DE" w:bidi="de-DE"/>
              </w:rPr>
            </w:pPr>
          </w:p>
        </w:tc>
        <w:tc>
          <w:tcPr>
            <w:tcW w:w="1695" w:type="dxa"/>
            <w:tcBorders>
              <w:top w:val="nil"/>
              <w:bottom w:val="nil"/>
            </w:tcBorders>
            <w:shd w:val="clear" w:color="auto" w:fill="auto"/>
            <w:vAlign w:val="top"/>
          </w:tcPr>
          <w:p>
            <w:pPr>
              <w:pStyle w:val="[Normal]"/>
              <w:jc w:val="right"/>
              <w:rPr>
                <w:b/>
                <w:sz w:val="20"/>
                <w:lang w:val="de-DE" w:eastAsia="de-DE" w:bidi="de-DE"/>
              </w:rPr>
            </w:pPr>
            <w:r>
              <w:rPr>
                <w:b/>
                <w:sz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AR Glasfaser</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4.20.1</w:t>
            </w:r>
          </w:p>
        </w:tc>
        <w:tc>
          <w:tcPr>
            <w:tcW w:w="11"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 Faserarmierung für Spachtelmasse</w:t>
            </w:r>
          </w:p>
        </w:tc>
        <w:tc>
          <w:tcPr>
            <w:tcW w:w="1700" w:type="dxa"/>
            <w:shd w:val="clear" w:color="auto" w:fill="auto"/>
            <w:vAlign w:val="top"/>
          </w:tcPr>
          <w:p>
            <w:pPr>
              <w:pStyle w:val="[Normal]"/>
              <w:rPr>
                <w:sz w:val="20"/>
                <w:lang w:val="de-DE" w:eastAsia="de-DE" w:bidi="de-DE"/>
              </w:rPr>
            </w:pPr>
          </w:p>
        </w:tc>
      </w:tr>
    </w:tbl>
    <w:p>
      <w:pPr>
        <w:pStyle w:val="[Normal]"/>
        <w:spacing w:after="170"/>
        <w:ind w:left="1706" w:hanging="1706"/>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sz w:val="20"/>
                <w:lang w:val="de-DE" w:eastAsia="de-DE" w:bidi="de-DE"/>
              </w:rPr>
            </w:pPr>
          </w:p>
        </w:tc>
        <w:tc>
          <w:tcPr>
            <w:tcW w:w="7082" w:type="dxa"/>
            <w:shd w:val="clear" w:color="auto" w:fill="auto"/>
            <w:vAlign w:val="top"/>
          </w:tcPr>
          <w:p>
            <w:pPr>
              <w:pStyle w:val="MPos"/>
              <w:rPr>
                <w:lang w:val="de-DE" w:eastAsia="de-DE" w:bidi="de-DE"/>
              </w:rPr>
            </w:pPr>
            <w:r>
              <w:rPr>
                <w:b w:val="off"/>
                <w:lang w:val="de-DE" w:eastAsia="de-DE" w:bidi="de-DE"/>
              </w:rPr>
              <w:t xml:space="preserve">Zulage zur vorher genannten Position für die Vergütung der Bodenspachtelmasse mit hochleistungs Glasfasern zur Steigerung der Zug- und Biegezugfestigkeit sowie Vermeidung von Krakeleerissen.</w:t>
            </w:r>
          </w:p>
        </w:tc>
        <w:tc>
          <w:tcPr>
            <w:tcW w:w="1700" w:type="dxa"/>
            <w:shd w:val="clear" w:color="auto" w:fill="auto"/>
            <w:vAlign w:val="top"/>
          </w:tcPr>
          <w:p>
            <w:pPr>
              <w:pStyle w:val="[Normal]"/>
              <w:rPr>
                <w:sz w:val="20"/>
                <w:lang w:val="de-DE" w:eastAsia="de-DE" w:bidi="de-DE"/>
              </w:rPr>
            </w:pPr>
          </w:p>
        </w:tc>
      </w:tr>
    </w:tbl>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Produkt: </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706" w:right="1984"/>
        <w:rPr>
          <w:b w:val="off"/>
          <w:lang w:val="de-DE" w:eastAsia="de-DE" w:bidi="de-DE"/>
        </w:rPr>
      </w:pPr>
      <w:r>
        <w:rPr>
          <w:b w:val="off"/>
          <w:lang w:val="de-DE" w:eastAsia="de-DE" w:bidi="de-DE"/>
        </w:rPr>
        <w:t xml:space="preserve">	ARDEX AR Glasfaser Armierungsfaser</w:t>
      </w:r>
    </w:p>
    <w:p>
      <w:pPr>
        <w:pStyle w:val="MPos"/>
        <w:tabs>
          <w:tab w:val="left" w:pos="2840"/>
          <w:tab w:val="left" w:pos="3974"/>
          <w:tab w:val="left" w:pos="5108"/>
          <w:tab w:val="left" w:pos="6242"/>
          <w:tab w:val="left" w:pos="7376"/>
          <w:tab w:val="left" w:pos="8510"/>
          <w:tab w:val="left" w:pos="0"/>
          <w:tab w:val="left" w:pos="0"/>
          <w:tab w:val="left" w:pos="0"/>
          <w:tab w:val="left" w:pos="0"/>
          <w:tab w:val="left" w:pos="0"/>
          <w:tab w:val="left" w:pos="0"/>
          <w:tab w:val="left" w:pos="0"/>
          <w:tab w:val="left" w:pos="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70"/>
        <w:ind w:left="1706" w:right="1984"/>
        <w:rPr>
          <w:b w:val="off"/>
          <w:lang w:val="de-DE" w:eastAsia="de-DE" w:bidi="de-DE"/>
        </w:rPr>
      </w:pPr>
      <w:r>
        <w:rPr>
          <w:b w:val="off"/>
          <w:lang w:val="de-DE" w:eastAsia="de-DE" w:bidi="de-DE"/>
        </w:rPr>
        <w:t xml:space="preserve">	oder gleichwertig     Fabrikat / Typ:  '........................................'</w:t>
      </w:r>
      <w:r>
        <w:rPr>
          <w:b w:val="off"/>
          <w:lang w:val="de-DE" w:eastAsia="de-DE" w:bidi="de-DE"/>
        </w:rPr>
      </w:r>
      <w:bookmarkStart w:id="23" w:name="LT_123211"/>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rPr>
                <w:sz w:val="20"/>
                <w:lang w:val="de-DE" w:eastAsia="de-DE" w:bidi="de-DE"/>
              </w:rPr>
            </w:pPr>
          </w:p>
        </w:tc>
        <w:tc>
          <w:tcPr>
            <w:tcW w:w="1412" w:type="dxa"/>
            <w:shd w:val="clear" w:color="auto" w:fill="auto"/>
            <w:vAlign w:val="top"/>
          </w:tcPr>
          <w:p>
            <w:pPr>
              <w:pStyle w:val="[Normal]"/>
              <w:jc w:val="right"/>
              <w:rPr>
                <w:sz w:val="20"/>
                <w:lang w:val="de-DE" w:eastAsia="de-DE" w:bidi="de-DE"/>
              </w:rPr>
            </w:pPr>
            <w:r>
              <w:rPr>
                <w:sz w:val="20"/>
                <w:lang w:val="de-DE" w:eastAsia="de-DE" w:bidi="de-DE"/>
              </w:rPr>
              <w:t xml:space="preserve">0</w:t>
            </w:r>
          </w:p>
        </w:tc>
        <w:tc>
          <w:tcPr>
            <w:tcW w:w="119" w:type="dxa"/>
            <w:shd w:val="clear" w:color="auto" w:fill="auto"/>
            <w:vAlign w:val="top"/>
          </w:tcPr>
          <w:p>
            <w:pPr>
              <w:pStyle w:val="[Normal]"/>
              <w:rPr>
                <w:sz w:val="20"/>
                <w:lang w:val="de-DE" w:eastAsia="de-DE" w:bidi="de-DE"/>
              </w:rPr>
            </w:pPr>
          </w:p>
        </w:tc>
        <w:tc>
          <w:tcPr>
            <w:tcW w:w="1015" w:type="dxa"/>
            <w:shd w:val="clear" w:color="auto" w:fill="auto"/>
            <w:vAlign w:val="top"/>
          </w:tcPr>
          <w:p>
            <w:pPr>
              <w:pStyle w:val="[Normal]"/>
              <w:rPr>
                <w:b/>
                <w:sz w:val="20"/>
                <w:lang w:val="de-DE" w:eastAsia="de-DE" w:bidi="de-DE"/>
              </w:rPr>
            </w:pPr>
            <w:r>
              <w:rPr>
                <w:b/>
                <w:sz w:val="20"/>
                <w:lang w:val="de-DE" w:eastAsia="de-DE" w:bidi="de-DE"/>
              </w:rPr>
              <w:t xml:space="preserve">m²</w:t>
            </w:r>
          </w:p>
        </w:tc>
        <w:tc>
          <w:tcPr>
            <w:tcW w:w="5"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sz w:val="20"/>
                <w:lang w:val="de-DE" w:eastAsia="de-DE" w:bidi="de-DE"/>
              </w:rPr>
            </w:pPr>
            <w:r>
              <w:rPr>
                <w:sz w:val="20"/>
                <w:lang w:val="de-DE" w:eastAsia="de-DE" w:bidi="de-DE"/>
              </w:rPr>
              <w:t xml:space="preserve">....................</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4.20 Produkt AR Glasfaser</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4 Produktgruppe 4 Bodenspachtelmassen</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p>
      <w:pPr>
        <w:pStyle w:val="[Normal]"/>
        <w:spacing w:before="7758"/>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pageBreakBefore/>
        <w:rPr>
          <w:sz w:val="2"/>
          <w:lang w:val="de-DE" w:eastAsia="de-DE" w:bidi="de-DE"/>
        </w:rPr>
      </w:pPr>
      <w:r>
        <w:rPr>
          <w:sz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r>
              <w:rPr>
                <w:b/>
                <w:lang w:val="de-DE" w:eastAsia="de-DE" w:bidi="de-DE"/>
              </w:rPr>
              <w:t xml:space="preserve">ARDEX GmbH</w:t>
            </w:r>
          </w:p>
        </w:tc>
        <w:tc>
          <w:tcPr>
            <w:tcW w:w="3810"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2"/>
                <w:lang w:val="de-DE" w:eastAsia="de-DE" w:bidi="de-DE"/>
              </w:rPr>
            </w:pPr>
          </w:p>
        </w:tc>
        <w:tc>
          <w:tcPr>
            <w:tcW w:w="1575" w:type="dxa"/>
            <w:tcBorders>
              <w:bottom w:val="nil"/>
            </w:tcBorders>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b/>
                <w:sz w:val="22"/>
                <w:lang w:val="de-DE" w:eastAsia="de-DE" w:bidi="de-DE"/>
              </w:rPr>
            </w:pPr>
            <w:r>
              <w:rPr>
                <w:b/>
                <w:sz w:val="20"/>
                <w:lang w:val="de-DE" w:eastAsia="de-DE" w:bidi="de-DE"/>
              </w:rPr>
              <w:drawing>
                <wp:inline distT="0" distB="0" distL="0" distR="0">
                  <wp:extent cx="819785" cy="521335"/>
                  <wp:docPr id="22" name="_tx_id_22_"/>
                  <a:graphic xmlns:a="http://schemas.openxmlformats.org/drawingml/2006/main">
                    <a:graphicData uri="http://schemas.openxmlformats.org/drawingml/2006/picture">
                      <pic:pic xmlns:pic="http://schemas.openxmlformats.org/drawingml/2006/picture">
                        <pic:nvPicPr>
                          <pic:cNvPr id="0" name="Image 22"/>
                          <pic:cNvPicPr>
                            <a:picLocks noMove="1" noResize="1"/>
                          </pic:cNvPicPr>
                        </pic:nvPicPr>
                        <pic:blipFill>
                          <a:blip r:embed="rId00024"/>
                          <a:stretch>
                            <a:fillRect/>
                          </a:stretch>
                        </pic:blipFill>
                        <pic:spPr>
                          <a:xfrm>
                            <a:off x="0" y="0"/>
                            <a:ext cx="819785" cy="521335"/>
                          </a:xfrm>
                          <a:prstGeom prst="rect">
                            <a:avLst/>
                          </a:prstGeom>
                        </pic:spPr>
                      </pic:pic>
                    </a:graphicData>
                  </a:graphic>
                </wp:inline>
              </w:drawing>
            </w:r>
            <w:r>
              <w:rPr>
                <w:b/>
                <w:sz w:val="20"/>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top w:val="nil"/>
              <w:bottom w:val="nil"/>
            </w:tcBorders>
            <w:shd w:val="clear" w:color="auto" w:fill="auto"/>
            <w:vAlign w:val="top"/>
          </w:tcPr>
          <w:p>
            <w:pPr>
              <w:pStyle w:val="[Normal]"/>
              <w:rPr>
                <w:sz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rPr>
                <w:b/>
                <w:sz w:val="16"/>
                <w:lang w:val="de-DE" w:eastAsia="de-DE" w:bidi="de-DE"/>
              </w:rPr>
            </w:pPr>
            <w:r>
              <w:rPr>
                <w:b/>
                <w:sz w:val="16"/>
                <w:lang w:val="de-DE" w:eastAsia="de-DE" w:bidi="de-DE"/>
              </w:rPr>
              <w:t xml:space="preserve">31.01.2020</w:t>
            </w:r>
          </w:p>
        </w:tc>
        <w:tc>
          <w:tcPr>
            <w:tcW w:w="11" w:type="dxa"/>
            <w:tcBorders>
              <w:top w:val="nil"/>
            </w:tcBorders>
            <w:shd w:val="clear" w:color="auto" w:fill="auto"/>
            <w:vAlign w:val="top"/>
          </w:tcPr>
          <w:p>
            <w:pPr>
              <w:pStyle w:val="[Normal]"/>
              <w:rPr>
                <w:sz w:val="16"/>
                <w:lang w:val="de-DE" w:eastAsia="de-DE" w:bidi="de-DE"/>
              </w:rPr>
            </w:pPr>
          </w:p>
        </w:tc>
        <w:tc>
          <w:tcPr>
            <w:tcW w:w="5380" w:type="dxa"/>
            <w:tcBorders>
              <w:top w:val="nil"/>
            </w:tcBorders>
            <w:shd w:val="clear" w:color="auto" w:fill="auto"/>
            <w:vAlign w:val="top"/>
          </w:tcPr>
          <w:p>
            <w:pPr>
              <w:pStyle w:val="[Normal]"/>
              <w:jc w:val="center"/>
              <w:rPr>
                <w:b/>
                <w:color w:val="FFFFFF"/>
                <w:sz w:val="20"/>
                <w:lang w:val="de-DE" w:eastAsia="de-DE" w:bidi="de-DE"/>
              </w:rPr>
            </w:pPr>
            <w:r>
              <w:rPr>
                <w:b/>
                <w:color w:val="FFFFFF"/>
                <w:sz w:val="20"/>
                <w:lang w:val="de-DE" w:eastAsia="de-DE" w:bidi="de-DE"/>
              </w:rPr>
              <w:t xml:space="preserve">Leistungsverzeichnis Blankett</w:t>
            </w:r>
          </w:p>
        </w:tc>
        <w:tc>
          <w:tcPr>
            <w:tcW w:w="6" w:type="dxa"/>
            <w:tcBorders>
              <w:top w:val="nil"/>
            </w:tcBorders>
            <w:shd w:val="clear" w:color="auto" w:fill="auto"/>
            <w:vAlign w:val="top"/>
          </w:tcPr>
          <w:p>
            <w:pPr>
              <w:pStyle w:val="[Normal]"/>
              <w:rPr>
                <w:sz w:val="16"/>
                <w:lang w:val="de-DE" w:eastAsia="de-DE" w:bidi="de-DE"/>
              </w:rPr>
            </w:pPr>
          </w:p>
        </w:tc>
        <w:tc>
          <w:tcPr>
            <w:tcW w:w="2546" w:type="dxa"/>
            <w:tcBorders>
              <w:top w:val="nil"/>
            </w:tcBorders>
            <w:shd w:val="clear" w:color="auto" w:fill="auto"/>
            <w:vAlign w:val="top"/>
          </w:tcPr>
          <w:p>
            <w:pPr>
              <w:pStyle w:val="[Normal]"/>
              <w:jc w:val="right"/>
              <w:rPr>
                <w:b/>
                <w:sz w:val="16"/>
                <w:lang w:val="de-DE" w:eastAsia="de-DE" w:bidi="de-DE"/>
              </w:rPr>
            </w:pPr>
            <w:r>
              <w:rPr>
                <w:b/>
                <w:sz w:val="16"/>
                <w:lang w:val="de-DE" w:eastAsia="de-DE" w:bidi="de-DE"/>
              </w:rPr>
              <w:t xml:space="preserve">Seite 21 / 21</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r>
        <w:tc>
          <w:tcPr>
            <w:tcW w:w="10483" w:type="dxa"/>
            <w:tcBorders>
              <w:top w:val="single" w:sz="4" w:space="0" w:color="auto"/>
            </w:tcBorders>
            <w:shd w:val="clear" w:color="auto" w:fill="auto"/>
            <w:tcMar>
              <w:top w:w="36" w:type="dxa"/>
            </w:tcMar>
            <w:vAlign w:val="top"/>
          </w:tcPr>
          <w:p>
            <w:pPr>
              <w:pStyle w:val="[Normal]"/>
              <w:rPr>
                <w:sz w:val="6"/>
                <w:lang w:val="de-DE" w:eastAsia="de-DE" w:bidi="de-DE"/>
              </w:rPr>
            </w:pPr>
            <w:r>
              <w:rPr>
                <w:sz w:val="6"/>
                <w:lang w:val="de-DE" w:eastAsia="de-DE" w:bidi="de-DE"/>
              </w:rPr>
              <w:t xml:space="preserve">                                                                                                                                                                                                                                                                                                                                                                                                                                                                                                                                                                                                                                   </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rPr>
          <w:b/>
          <w:sz w:val="2"/>
          <w:lang w:val="de-DE" w:eastAsia="de-DE" w:bidi="de-DE"/>
        </w:rPr>
      </w:pPr>
      <w:r>
        <w:rPr>
          <w:b/>
          <w:sz w:val="2"/>
          <w:lang w:val="de-DE" w:eastAsia="de-DE" w:bidi="de-DE"/>
        </w:rPr>
        <w:t xml:space="preserve">   </w:t>
      </w:r>
    </w:p>
    <w:p>
      <w:pPr>
        <w:pStyle w:val="[Normal]"/>
        <w:spacing w:after="56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4"/>
        <w:gridCol w:w="4"/>
      </w:tblGrid>
      <w:tr>
        <w:tc>
          <w:tcPr>
            <w:tcW w:w="10484" w:type="dxa"/>
            <w:shd w:val="clear" w:color="auto" w:fill="auto"/>
            <w:vAlign w:val="top"/>
          </w:tcPr>
          <w:p>
            <w:pPr>
              <w:pStyle w:val="[Normal]"/>
              <w:jc w:val="center"/>
              <w:rPr>
                <w:b/>
                <w:sz w:val="20"/>
                <w:lang w:val="de-DE" w:eastAsia="de-DE" w:bidi="de-DE"/>
              </w:rPr>
            </w:pPr>
            <w:r>
              <w:rPr>
                <w:b/>
                <w:sz w:val="20"/>
                <w:lang w:val="de-DE" w:eastAsia="de-DE" w:bidi="de-DE"/>
              </w:rPr>
              <w:t xml:space="preserve">Zusammenstellung</w:t>
            </w:r>
          </w:p>
        </w:tc>
        <w:tc>
          <w:tcPr>
            <w:tcW w:w="4" w:type="dxa"/>
            <w:shd w:val="clear" w:color="auto" w:fill="auto"/>
            <w:vAlign w:val="top"/>
          </w:tcPr>
          <w:p>
            <w:pPr>
              <w:pStyle w:val="[Normal]"/>
              <w:rPr>
                <w:sz w:val="20"/>
                <w:lang w:val="de-DE" w:eastAsia="de-DE" w:bidi="de-DE"/>
              </w:rPr>
            </w:pPr>
          </w:p>
        </w:tc>
      </w:tr>
    </w:tbl>
    <w:p>
      <w:pPr>
        <w:pStyle w:val="[Normal]"/>
        <w:spacing w:after="283"/>
        <w:rPr>
          <w:sz w:val="2"/>
          <w:lang w:val="de-DE" w:eastAsia="de-DE" w:bidi="de-DE"/>
        </w:rPr>
      </w:pPr>
      <w:r>
        <w:rPr>
          <w:sz w:val="2"/>
          <w:lang w:val="de-DE" w:eastAsia="de-DE" w:bidi="de-DE"/>
        </w:rPr>
        <w:t xml:space="preserve">   </w:t>
      </w:r>
    </w:p>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FIX</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15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FA 20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22 F</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4.5</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33</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39</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40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45 FEIN</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4.11</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 46</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4.12</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55</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4.13</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60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80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4.16</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100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4.17</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200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4.18</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CL 300</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4.19</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K 301</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027"/>
        <w:gridCol w:w="1696"/>
        <w:gridCol w:w="339"/>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4.20</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 AR Glasfaser</w:t>
            </w:r>
          </w:p>
        </w:tc>
        <w:tc>
          <w:tcPr>
            <w:tcW w:w="1027" w:type="dxa"/>
            <w:shd w:val="clear" w:color="auto" w:fill="auto"/>
            <w:vAlign w:val="top"/>
          </w:tcPr>
          <w:p>
            <w:pPr>
              <w:pStyle w:val="[Normal]"/>
              <w:rPr>
                <w:sz w:val="20"/>
                <w:lang w:val="de-DE" w:eastAsia="de-DE" w:bidi="de-DE"/>
              </w:rPr>
            </w:pPr>
          </w:p>
        </w:tc>
        <w:tc>
          <w:tcPr>
            <w:tcW w:w="1696" w:type="dxa"/>
            <w:shd w:val="clear" w:color="auto" w:fill="auto"/>
            <w:vAlign w:val="top"/>
          </w:tcPr>
          <w:p>
            <w:pPr>
              <w:pStyle w:val="[Normal]"/>
              <w:jc w:val="right"/>
              <w:rPr>
                <w:b/>
                <w:sz w:val="20"/>
                <w:lang w:val="de-DE" w:eastAsia="de-DE" w:bidi="de-DE"/>
              </w:rPr>
            </w:pPr>
            <w:r>
              <w:rPr>
                <w:b/>
                <w:sz w:val="20"/>
                <w:lang w:val="de-DE" w:eastAsia="de-DE" w:bidi="de-DE"/>
              </w:rPr>
              <w:t xml:space="preserve">....................</w:t>
            </w:r>
          </w:p>
        </w:tc>
        <w:tc>
          <w:tcPr>
            <w:tcW w:w="339" w:type="dxa"/>
            <w:shd w:val="clear" w:color="auto" w:fill="auto"/>
            <w:vAlign w:val="top"/>
          </w:tcPr>
          <w:p>
            <w:pPr>
              <w:pStyle w:val="[Normal]"/>
              <w:rPr>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5720"/>
        <w:gridCol w:w="1367"/>
        <w:gridCol w:w="1695"/>
      </w:tblGrid>
      <w:tr>
        <w:tc>
          <w:tcPr>
            <w:tcW w:w="1695" w:type="dxa"/>
            <w:shd w:val="clear" w:color="auto" w:fill="auto"/>
            <w:vAlign w:val="top"/>
          </w:tcPr>
          <w:p>
            <w:pPr>
              <w:pStyle w:val="[Normal]"/>
              <w:rPr>
                <w:b/>
                <w:sz w:val="20"/>
                <w:lang w:val="de-DE" w:eastAsia="de-DE" w:bidi="de-DE"/>
              </w:rPr>
            </w:pPr>
            <w:r>
              <w:rPr>
                <w:b/>
                <w:sz w:val="20"/>
                <w:lang w:val="de-DE" w:eastAsia="de-DE" w:bidi="de-DE"/>
              </w:rPr>
              <w:t xml:space="preserve">4</w:t>
            </w:r>
          </w:p>
        </w:tc>
        <w:tc>
          <w:tcPr>
            <w:tcW w:w="11" w:type="dxa"/>
            <w:shd w:val="clear" w:color="auto" w:fill="auto"/>
            <w:vAlign w:val="top"/>
          </w:tcPr>
          <w:p>
            <w:pPr>
              <w:pStyle w:val="[Normal]"/>
              <w:rPr>
                <w:sz w:val="20"/>
                <w:lang w:val="de-DE" w:eastAsia="de-DE" w:bidi="de-DE"/>
              </w:rPr>
            </w:pPr>
          </w:p>
        </w:tc>
        <w:tc>
          <w:tcPr>
            <w:tcW w:w="5720" w:type="dxa"/>
            <w:shd w:val="clear" w:color="auto" w:fill="auto"/>
            <w:vAlign w:val="top"/>
          </w:tcPr>
          <w:p>
            <w:pPr>
              <w:pStyle w:val="[Normal]"/>
              <w:rPr>
                <w:b/>
                <w:sz w:val="20"/>
                <w:lang w:val="de-DE" w:eastAsia="de-DE" w:bidi="de-DE"/>
              </w:rPr>
            </w:pPr>
            <w:r>
              <w:rPr>
                <w:b/>
                <w:sz w:val="20"/>
                <w:lang w:val="de-DE" w:eastAsia="de-DE" w:bidi="de-DE"/>
              </w:rPr>
              <w:t xml:space="preserve">Produktgruppe 4 Bodenspachtelmassen</w:t>
            </w:r>
          </w:p>
        </w:tc>
        <w:tc>
          <w:tcPr>
            <w:tcW w:w="1367"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57"/>
        <w:rPr>
          <w:sz w:val="2"/>
          <w:lang w:val="de-DE" w:eastAsia="de-DE" w:bidi="de-DE"/>
        </w:rPr>
      </w:pPr>
      <w:r>
        <w:rPr>
          <w:sz w:val="2"/>
          <w:lang w:val="de-DE" w:eastAsia="de-DE" w:bidi="de-DE"/>
        </w:rPr>
        <w:t xml:space="preserve">   </w:t>
      </w:r>
    </w:p>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Summe</w:t>
            </w:r>
          </w:p>
        </w:tc>
        <w:tc>
          <w:tcPr>
            <w:tcW w:w="6" w:type="dxa"/>
            <w:shd w:val="clear" w:color="auto" w:fill="auto"/>
            <w:vAlign w:val="top"/>
          </w:tcPr>
          <w:p>
            <w:pPr>
              <w:pStyle w:val="[Normal]"/>
              <w:rPr>
                <w:sz w:val="20"/>
                <w:lang w:val="de-DE" w:eastAsia="de-DE" w:bidi="de-DE"/>
              </w:rPr>
            </w:pPr>
          </w:p>
        </w:tc>
        <w:tc>
          <w:tcPr>
            <w:tcW w:w="1695" w:type="dxa"/>
            <w:shd w:val="clear" w:color="auto" w:fill="auto"/>
            <w:vAlign w:val="top"/>
          </w:tcPr>
          <w:p>
            <w:pPr>
              <w:pStyle w:val="[Normal]"/>
              <w:jc w:val="right"/>
              <w:rPr>
                <w:b/>
                <w:sz w:val="20"/>
                <w:lang w:val="de-DE" w:eastAsia="de-DE" w:bidi="de-DE"/>
              </w:rPr>
            </w:pPr>
            <w:r>
              <w:rPr>
                <w:b/>
                <w:sz w:val="20"/>
                <w:lang w:val="de-DE" w:eastAsia="de-DE" w:bidi="de-DE"/>
              </w:rPr>
              <w:t xml:space="preserve">....................</w:t>
            </w:r>
          </w:p>
        </w:tc>
      </w:tr>
    </w:tbl>
    <w:p>
      <w:pPr>
        <w:pStyle w:val="[Normal]"/>
        <w:spacing w:after="11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zzgl. MwSt  ......... %</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1"/>
        <w:gridCol w:w="6"/>
        <w:gridCol w:w="1695"/>
      </w:tblGrid>
      <w:tr>
        <w:tc>
          <w:tcPr>
            <w:tcW w:w="1706" w:type="dxa"/>
            <w:shd w:val="clear" w:color="auto" w:fill="auto"/>
            <w:vAlign w:val="top"/>
          </w:tcPr>
          <w:p>
            <w:pPr>
              <w:pStyle w:val="[Normal]"/>
              <w:rPr>
                <w:sz w:val="20"/>
                <w:lang w:val="de-DE" w:eastAsia="de-DE" w:bidi="de-DE"/>
              </w:rPr>
            </w:pPr>
          </w:p>
        </w:tc>
        <w:tc>
          <w:tcPr>
            <w:tcW w:w="7081" w:type="dxa"/>
            <w:shd w:val="clear" w:color="auto" w:fill="auto"/>
            <w:vAlign w:val="top"/>
          </w:tcPr>
          <w:p>
            <w:pPr>
              <w:pStyle w:val="[Normal]"/>
              <w:jc w:val="right"/>
              <w:rPr>
                <w:b/>
                <w:sz w:val="20"/>
                <w:lang w:val="de-DE" w:eastAsia="de-DE" w:bidi="de-DE"/>
              </w:rPr>
            </w:pPr>
            <w:r>
              <w:rPr>
                <w:b/>
                <w:sz w:val="20"/>
                <w:lang w:val="de-DE" w:eastAsia="de-DE" w:bidi="de-DE"/>
              </w:rPr>
              <w:t xml:space="preserve">Gesamtsumme</w:t>
            </w:r>
          </w:p>
        </w:tc>
        <w:tc>
          <w:tcPr>
            <w:tcW w:w="6" w:type="dxa"/>
            <w:shd w:val="clear" w:color="auto" w:fill="auto"/>
            <w:vAlign w:val="top"/>
          </w:tcPr>
          <w:p>
            <w:pPr>
              <w:pStyle w:val="[Normal]"/>
              <w:rPr>
                <w:sz w:val="20"/>
                <w:lang w:val="de-DE" w:eastAsia="de-DE" w:bidi="de-DE"/>
              </w:rPr>
            </w:pPr>
          </w:p>
        </w:tc>
        <w:tc>
          <w:tcPr>
            <w:tcW w:w="1695" w:type="dxa"/>
            <w:shd w:val="clear" w:color="auto" w:fill="auto"/>
            <w:tcMar>
              <w:left w:w="169" w:type="dxa"/>
            </w:tcMar>
            <w:vAlign w:val="top"/>
          </w:tcPr>
          <w:p>
            <w:pPr>
              <w:pStyle w:val="[Normal]"/>
              <w:tabs>
                <w:tab w:val="right" w:pos="15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b/>
                <w:sz w:val="20"/>
                <w:u w:val="single"/>
                <w:lang w:val="de-DE" w:eastAsia="de-DE" w:bidi="de-DE"/>
              </w:rPr>
            </w:pPr>
            <w:r>
              <w:rPr>
                <w:b/>
                <w:sz w:val="20"/>
                <w:u w:val="single"/>
                <w:lang w:val="de-DE" w:eastAsia="de-DE" w:bidi="de-DE"/>
              </w:rPr>
              <w:t xml:space="preserve">	....................</w:t>
            </w:r>
          </w:p>
        </w:tc>
      </w:tr>
    </w:tbl>
    <w:p>
      <w:pPr>
        <w:pStyle w:val="[Normal]"/>
        <w:spacing w:after="283"/>
        <w:rPr>
          <w:sz w:val="2"/>
          <w:lang w:val="de-DE" w:eastAsia="de-DE" w:bidi="de-DE"/>
        </w:rPr>
      </w:pPr>
      <w:r>
        <w:rPr>
          <w:sz w:val="2"/>
          <w:lang w:val="de-DE" w:eastAsia="de-DE" w:bidi="de-DE"/>
        </w:rPr>
        <w:t xml:space="preserve">   </w:t>
      </w:r>
    </w:p>
    <w:p>
      <w:pPr>
        <w:pStyle w:val="[Normal]"/>
        <w:spacing w:before="3322"/>
        <w:rPr>
          <w:sz w:val="2"/>
          <w:lang w:val="de-DE" w:eastAsia="de-DE" w:bidi="de-DE"/>
        </w:rPr>
      </w:pPr>
      <w:r>
        <w:rPr>
          <w:sz w:val="2"/>
          <w:lang w:val="de-DE" w:eastAsia="de-DE" w:bidi="de-DE"/>
        </w:rPr>
        <w:t xml:space="preserve">   </w:t>
      </w:r>
    </w:p>
    <w:p>
      <w:pPr>
        <w:pStyle w:val="[Normal]"/>
        <w:spacing w:after="170"/>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5958"/>
        <w:gridCol w:w="4530"/>
      </w:tblGrid>
      <w:tr>
        <w:tc>
          <w:tcPr>
            <w:tcW w:w="5958" w:type="dxa"/>
            <w:shd w:val="clear" w:color="auto" w:fill="auto"/>
            <w:vAlign w:val="top"/>
          </w:tcPr>
          <w:p>
            <w:pPr>
              <w:pStyle w:val="[Normal]"/>
              <w:rPr>
                <w:sz w:val="20"/>
                <w:lang w:val="de-DE" w:eastAsia="de-DE" w:bidi="de-DE"/>
              </w:rPr>
            </w:pPr>
          </w:p>
        </w:tc>
        <w:tc>
          <w:tcPr>
            <w:tcW w:w="4530" w:type="dxa"/>
            <w:shd w:val="clear" w:color="auto" w:fill="auto"/>
            <w:vAlign w:val="top"/>
          </w:tcPr>
          <w:p>
            <w:pPr>
              <w:pStyle w:val="[Normal]"/>
              <w:jc w:val="right"/>
              <w:rPr>
                <w:b/>
                <w:sz w:val="20"/>
                <w:lang w:val="de-DE" w:eastAsia="de-DE" w:bidi="de-DE"/>
              </w:rPr>
            </w:pP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rPr>
                <w:sz w:val="6"/>
                <w:lang w:val="de-DE" w:eastAsia="de-DE" w:bidi="de-DE"/>
              </w:rPr>
            </w:pPr>
            <w:r>
              <w:rPr>
                <w:sz w:val="6"/>
                <w:lang w:val="de-DE" w:eastAsia="de-DE" w:bidi="de-DE"/>
              </w:rPr>
              <w:t xml:space="preserve">                                                                                                                                                                                                                                                                                                                                                                                                                                                                                                                                                                                                                                   </w:t>
            </w:r>
          </w:p>
        </w:tc>
      </w:tr>
    </w:tbl>
    <w:p>
      <w:pPr>
        <w:pStyle w:val="[Normal]"/>
        <w:spacing w:after="57"/>
        <w:rPr>
          <w:sz w:val="2"/>
          <w:lang w:val="de-DE" w:eastAsia="de-DE" w:bidi="de-DE"/>
        </w:rPr>
      </w:pPr>
      <w:r>
        <w:rPr>
          <w:sz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lang w:val="de-DE" w:eastAsia="de-DE" w:bidi="de-DE"/>
              </w:rPr>
            </w:pPr>
            <w:r>
              <w:rPr>
                <w:rFonts w:ascii="Arial" w:hAnsi="Arial" w:eastAsia="Arial" w:cs="Arial"/>
                <w:color w:val="393C39"/>
                <w:sz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u w:val="none"/>
                <w:lang w:val="de-DE" w:eastAsia="de-DE" w:bidi="de-DE"/>
              </w:rPr>
            </w:pPr>
            <w:r>
              <w:rPr>
                <w:rFonts w:ascii="Arial" w:hAnsi="Arial" w:eastAsia="Arial" w:cs="Arial"/>
                <w:color w:val="393C39"/>
                <w:sz w:val="13"/>
                <w:lang w:val="de-DE" w:eastAsia="de-DE" w:bidi="de-DE"/>
              </w:rPr>
              <w:t xml:space="preserve">Tel.: +49(0)2302 664-617, Fax: (0)2302 664-375, </w:t>
            </w:r>
            <w:r>
              <w:rPr>
                <w:rStyle w:val="Hyperlink"/>
                <w:rFonts w:ascii="Arial" w:hAnsi="Arial" w:eastAsia="Arial" w:cs="Arial"/>
                <w:color w:val="393C39"/>
                <w:sz w:val="13"/>
                <w:u w:val="none"/>
                <w:lang w:val="de-DE" w:eastAsia="de-DE" w:bidi="de-DE"/>
              </w:rPr>
              <w:t xml:space="preserve">kundendienst@ardex.de</w:t>
            </w:r>
            <w:r>
              <w:rPr>
                <w:rFonts w:ascii="Arial" w:hAnsi="Arial" w:eastAsia="Arial" w:cs="Arial"/>
                <w:color w:val="393C39"/>
                <w:sz w:val="13"/>
                <w:lang w:val="de-DE" w:eastAsia="de-DE" w:bidi="de-DE"/>
              </w:rPr>
              <w:t xml:space="preserve">, </w:t>
            </w:r>
            <w:r>
              <w:rPr>
                <w:rStyle w:val="Hyperlink"/>
                <w:rFonts w:ascii="Arial" w:hAnsi="Arial" w:eastAsia="Arial" w:cs="Arial"/>
                <w:color w:val="393C39"/>
                <w:sz w:val="13"/>
                <w:u w:val="none"/>
                <w:lang w:val="de-DE" w:eastAsia="de-DE" w:bidi="de-DE"/>
              </w:rPr>
              <w:t xml:space="preserve">www.ardex.de</w:t>
            </w:r>
          </w:p>
          <w:p>
            <w:pPr>
              <w:pStyle w:val="[Normal]"/>
              <w:rPr>
                <w:sz w:val="2"/>
                <w:lang w:val="de-DE" w:eastAsia="de-DE" w:bidi="de-DE"/>
              </w:rPr>
            </w:pPr>
          </w:p>
        </w:tc>
      </w:tr>
    </w:tbl>
    <w:p>
      <w:pPr>
        <w:pStyle w:val="[Normal]"/>
        <w:rPr>
          <w:sz w:val="2"/>
          <w:lang w:val="de-DE" w:eastAsia="de-DE" w:bidi="de-DE"/>
        </w:rPr>
      </w:pPr>
      <w:r>
        <w:rPr>
          <w:sz w:val="2"/>
          <w:lang w:val="de-DE" w:eastAsia="de-DE" w:bidi="de-DE"/>
        </w:rPr>
        <w:t xml:space="preserve">   </w:t>
      </w:r>
    </w:p>
    <w:p>
      <w:pPr>
        <w:pStyle w:val="[Normal]"/>
        <w:rPr>
          <w:sz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5.0.321.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Normal">
    <w:name w:val="Normal"/>
    <w:next w:val="Normal"/>
    <w:qFormat/>
    <w:pPr>
      <w:widowControl w:val="off"/>
      <w:shd w:val="clear" w:color="auto" w:fill="auto"/>
      <w:spacing w:before="0" w:after="0" w:line="240" w:lineRule="auto"/>
      <w:ind w:left="0" w:right="0" w:firstLine="0"/>
      <w:jc w:val="left"/>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 w:type="paragraph" w:styleId="Stufe">
    <w:name w:val="Stufe"/>
    <w:basedOn w:val="[Normal]"/>
    <w:next w:val="Stufe"/>
    <w:qFormat/>
    <w:pPr/>
    <w:rPr>
      <w:b/>
      <w:bCs/>
      <w:sz w:val="20"/>
      <w:szCs w:val="20"/>
    </w:rPr>
  </w:style>
  <w:style w:type="paragraph" w:styleId="MPos">
    <w:name w:val="MPos"/>
    <w:basedOn w:val="[Normal]"/>
    <w:next w:val="MPos"/>
    <w:qFormat/>
    <w:pPr/>
    <w:rPr>
      <w:b/>
      <w:bCs/>
      <w:sz w:val="20"/>
      <w:szCs w:val="20"/>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image" Target="media/image0022.jpg"/>
	<Relationship Id="rId00025" Type="http://schemas.openxmlformats.org/officeDocument/2006/relationships/fontTable" Target="fontTable.xml"/>
	<Relationship Id="rId00026" Type="http://schemas.openxmlformats.org/officeDocument/2006/relationships/settings" Target="settings.xml"/>
</Relationships>
</file>