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wdp" ContentType="image/vnd.ms-photo"/>
  <Default Extension="jxr" ContentType="image/vnd.ms-photo"/>
  <Default Extension="bin" ContentType="application/vnd.openxmlformats-officedocument.oleObjec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
	<Relationship Id="rId00001" Type="http://schemas.openxmlformats.org/officeDocument/2006/relationships/officeDocument" Target="word/document.xml"/>
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 xmlns:wpc="http://schemas.microsoft.com/office/word/2010/wordprocessingCanvas" xmlns:wpg="http://schemas.microsoft.com/office/word/2010/wordprocessingGroup" xmlns:wps="http://schemas.microsoft.com/office/word/2010/wordprocessingShape" xmlns:mc="http://schemas.openxmlformats.org/markup-compatibility/2006" xmlns:w14="http://schemas.microsoft.com/office/word/2010/wordml" xmlns:w15="http://schemas.microsoft.com/office/word/2012/wordml" xmlns:tx19="http://schemas.textcontrol.com/tx/1900" xmlns:tx23="http://schemas.textcontrol.com/tx/2300" mc:Ignorable="w14 w15 tx19 tx23">
  <w:body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56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4"/>
        <w:gridCol w:w="4"/>
      </w:tblGrid>
      <w:tr>
        <w:tc>
          <w:tcPr>
            <w:tcW w:w="10484" w:type="dxa"/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Inhaltsverzeichnis</w:t>
            </w:r>
          </w:p>
        </w:tc>
        <w:tc>
          <w:tcPr>
            <w:tcW w:w="4" w:type="dxa"/>
            <w:shd w:val="clear" w:color="auto" w:fill="auto"/>
            <w:vAlign w:val="top"/>
          </w:tcPr>
          <w:p>
            <w:pPr>
              <w:pStyle w:val="[Normal]"/>
              <w:rPr>
                <w:lang w:val="de-DE" w:eastAsia="de-DE" w:bidi="de-DE"/>
              </w:rPr>
            </w:pP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Produktgruppe 7 Fugenmörtel / Fugendichtstoffe..............................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FK NEU......................................................................................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GK.............................................................................................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2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SE..............................................................................................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3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SN..............................................................................................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4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ST..............................................................................................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5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WA.............................................................................................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6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7.8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G4..............................................................................................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7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G5..............................................................................................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8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G6..............................................................................................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9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G7..............................................................................................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10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G8 S...........................................................................................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11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G9 S...........................................................................................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12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G10............................................................................................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13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RG 12........................................................................................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15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RG Cleaner...............................................................................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16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648"/>
        <w:gridCol w:w="6"/>
        <w:gridCol w:w="1128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648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Produkt CA 20 P.....................................................................................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128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17</w:t>
            </w:r>
          </w:p>
        </w:tc>
      </w:tr>
    </w:tbl>
    <w:p>
      <w:pPr>
        <w:pStyle w:val="[Normal]"/>
        <w:spacing w:before="491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single" w:sz="2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rPr>
          <w:sz w:val="2"/>
        </w:rPr>
      </w:pPr>
      <w:r>
        <w:rPr>
          <w:sz w:val="2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</w:pPr>
            <w:r>
              <w:rPr>
                <w:lang w:val="de-DE" w:eastAsia="de-DE" w:bidi="de-DE"/>
              </w:rPr>
              <w:t xml:space="preserve">Produktgruppe 7 Fugenmörtel / Fugendichtstoffe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FK NEU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 und Platten im hoch belasteten Innen- und Außenbereich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Fugenbreite von 2 - 12 mm mit zementgebundenem, hydraulisch schnell erhärtendem und früh begehbaren, rissefreiem, mechanisch hoch belastbaren sowie abriebfestem, kunststoffvergütetem und sehr emissionsarmen (EMICODE EC 1 PLUS R) Fugenmörtel der Güte CG2 A gemäß DIN 13888. Nach Erhärtung dauerhaft beständig gegen Tausalz, Hochdruckreiniger, hohe Temperaturen, Mineralöle und übliche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Belagsdehnungsfugen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FK NEU Belastungsfuge, schnell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" w:name="LT_123293"/>
      <w:bookmarkEnd w:id="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 Produkt FK NEU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tabs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left" w:pos="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tabs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64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2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GK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 und Platten im hoch belasteten Innen- und Außenbereich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ab einer Fugenbreite von 4 mm mit zementgebundenem, hydraulisch schnell erhärtendem und früh begehbarem, rissefreiem, mechanisch hoch belastbarem sowie abriebfestem, kunststoffvergütetem und sehr emissionsarmen (EMICODE EC 1 PLUS R) Fugenmörtel der Güte CG2 A gemäß DIN 13888. Nach Erhärtung dauerhaft beständig gegen Tausalz, Hochdruckreiniger, hohe Temperaturen, Mineralöle und übliche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GK Belastungsfuge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2" w:name="LT_123295"/>
      <w:bookmarkEnd w:id="2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 Produkt GK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69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3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SE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in privaten und gewerblichen Sanitärräumen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Elastisches Schließen von Bewegungs-, Eck- und Anschlussfugen (bis 30 mm) in keramischen Belägen im Innen- und Außenbereich mit einem hochelastischen und dehnbaren, leicht spritz- und glättbaren, fungizid eingestellten essigsäure vernetztem 1-K Sanitärsilikon. Beständig gegen Witterungseinflüsse, UV-Strahlen sowie handelsübliche Reinigungs- und Desinfektionsmittel. Gemäß DIN EN 15651 mit einem Volumenverlust ≤ 10%. Temperaturbeständig von – 40 bis +180 °C.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SE Sanitär-Silikon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3" w:name="LT_123297"/>
      <w:bookmarkEnd w:id="3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 Produkt SE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52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4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Elastisches Schließen von Bewegungs-, Eck- und Anschlussfugen bei keramischen Fliesen in privaten und gewerblichen Sanitärräumen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Fliesentyp: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Elastisches Schließen von Bewegungs-, Eck- und Anschlussfugen (bis 30 mm) in keramischen Belägen im Innen- und Außenbereich mit einem hochelastischen und dehnbaren, leicht spritz- und glättbaren, fungizid eingestellten neutral vernetztem 1-K Sanitärsilikon. Beständig gegen Witterungseinflüsse, UV-Strahlen sowie handelsübliche Reinigungs- und Desinfektionsmittel. Gemäß DIN EN 15651 mit einem Volumenverlust ≤ 10%. Temperaturbeständig von – 40 bis +180 °C.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SN Neutral-Silikon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4" w:name="LT_123299"/>
      <w:bookmarkEnd w:id="4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 Produkt SN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52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5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ST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Verfärbungsfreies elastisches Schließen von Bewegungs-, Eck- und Anschlussfugen bei Natursteinbelägen im Außen- und Innenbereich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Gesteinsart:		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Oberflächenbeschaffenheit: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Verfärbungsfreies elastisches Schließen von Bewegungs-, Eck- und Anschlussfugen (bis 30 mm im Wandbereich; bis 15 mm im Bodenbereich) bei Natursteinbelägen und keramischen Belägen auf Balkonen, Terrassen und an Fassaden im Außen- und Innenbereich mit einem hochelastischen und dehnbaren, leicht spritz- und glättbaren, fungizid eingestellten neutral vernetztem 1-K Natursteinsilikon mit guten Hafteigenschaften. Beständig gegen Witterungseinflüsse, UV-Strahlen sowie handelsübliche Reinigungs- und Desinfektionsmittel. Gemäß DIN EN 15651 mit einem Volumenverlust ≤ 10%. Temperaturbeständig von – 40 bis +150 °C.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sind zuvor sauber auszusparen bzw. auszukratzen.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Farbton: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 	ARDEX ST Naturstein-Silikon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5" w:name="LT_123301"/>
      <w:bookmarkEnd w:id="5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 Produkt ST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468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6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WA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Fliesen, Platten und Mosaik in chemisch und mechanisch hoch beanspruchten Bereichen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 g. Fliesenbelag in der Fugenbreite von 2 bis 15 mm mit einer chemikalienbeständigen und mechanisch hoch belastbaren, wasserfesten, frost- und witterungsbeständigen, farbstabilen, sehr emissionsarmen (EMICODE EC 1 Plus R), leicht einfugbaren und waschbaren Epoxidharzfugenmörtel der Güte RG gemäß DIN 13888. Nach Erhärtung dauerhaft beständig gegen mechanische Belastungen, aggressive Chemikalien, Tausalz, Hochdruckreiniger, hohe Temperaturen, Mineralöle und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24 Stunden mechanisch voll belastbar.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7 Tagen volle Chemikalienbeständigkeit.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WA Epoxifuge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6" w:name="LT_123303"/>
      <w:bookmarkEnd w:id="6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1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7.7 Produkt WA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5012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8" name="_tx_id_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7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7.8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G4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7.8.1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1 - 6 mm mit zementgebundenem, hydraulisch erhärtendem und belastbarem, Schimmel vorbeugendem, lange waschbarem und sehr emissionsarmen (EMICODE EC 1 PLUS R) Fugenmörtel der Güte CG2 A gemäß DIN 13888 mit einer feinen und glatten Fugenoberfläche.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G4 BASIC 1-6 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7" w:name="LT_123305"/>
      <w:bookmarkEnd w:id="7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7.8 Produkt G4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389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9" name="_tx_id_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8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G5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2 bis 15 mm mit zementgebundenem, hydraulisch erhärtendem und belastbarem, Schimmel vorbeugendem, lange waschbarem und sehr emissionsarmen (EMICODE EC 1 PLUS R) Fugenmörtel der Güte CG2 A gemäß DIN 13888.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G5 BASIC 2-15 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8" w:name="LT_123307"/>
      <w:bookmarkEnd w:id="8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 Produkt G5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389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0" name="_tx_id_10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9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G6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(1 - 6 mm) mit zementgebundenem, quarzfreiem, hydraulisch erhärtendem und belastbarem, Schimmel vorbeugendem, lange waschbarem, wasser- und schmutzabweisenden, hochverformbaren, kunststoffvergütetem und sehr emissionsarmen (EMICODE EC 1 PLUS R) Flex-Fugenmörtel der Güte CG2 WA gemäß DIN 13888 mit feiner und glatter Fugenoberfläche.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G6 FLEX 1-6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9" w:name="LT_123309"/>
      <w:bookmarkEnd w:id="9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 Produkt G6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6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1" name="_tx_id_1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10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G7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von 2 bis 15 mm mit zementgebundenem, hydraulisch erhärtendem und belastbarem, Schimmel vorbeugendem, lange waschbarem, wasser- und schmutzabweisenden, hochverformbaren, kunststoffvergütetem und sehr emissionsarmen (EMICODE EC 1 PLUS R) Flex-Fugenmörtel der Güte CG2 WA gemäß DIN 13888.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G7 FLEX 2-15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0" w:name="LT_123311"/>
      <w:bookmarkEnd w:id="10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 Produkt G7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6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2" name="_tx_id_1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11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G8 S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 g. Fliesenbelag in der vorhandenen Fugenbreite 1 - 6 mm mit zementgebundenem, hydraulisch schnell erhärtendem und belastbarem, Schimmel vorbeugendem, lange waschbarem, wasser- und schmutzabweisenden, kunststoffvergütetem und sehr emissionsarmen (EMICODE EC 1 PLUS R) Flex-Fugenmörtel der Güte CG2 WA gemäß DIN 13888 mit feiner Fugenoberfläche. Nach 90 Minuten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G8S FLEX 1-6 Flex-Fugenmörtel, schnell 	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1" w:name="LT_123313"/>
      <w:bookmarkEnd w:id="11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 Produkt G8 S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6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3" name="_tx_id_1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12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G9 S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2 - 15 mm mit zementgebundenem, schnell erhärtendem und belastbarem, Schimmel vorbeugendem, lange waschbarem, wasserabweisendem, kunststoffvergütetem, hochverformbaren und sehr emissionsarmen (EMICODE EC 1 PLUS) Flex-Fugenmörtel der Güte CG2 WA gemäß DIN 13888. Nach 90 Minuten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G9S FLEX 2 - 15 Flex-Fugenmörtel, schnell 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2" w:name="LT_123315"/>
      <w:bookmarkEnd w:id="12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 Produkt G9 S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616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4" name="_tx_id_1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13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G10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Fliesen, Natur- und Betonwerksteinplatten sowie Glasmosaik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Fabrikat:	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Belag in der vorhandenen Fugenbreite von1 - 10 mm mit einem zementgebundenem, hydraulisch schnell erhärtendem und trocknendem (ARDURAPID Plus Effekt), lange waschbarem, kunststoffvergütetem und sehr emissionsarmen (EMICODE EC 1 PLUS R) Flex-Fugenmörtel der Güte CG2 WA gemäß DIN 13888 mit guter Flankenhaftung und erhöhter Farbstabilität.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3 Stunden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G10 PREMIUM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3" w:name="LT_123317"/>
      <w:bookmarkEnd w:id="13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feuchtigkeits- und verfärbungsempfindlichen Natursteinen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Plattenfabrikat: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Natursteinbezeichnung: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Gesteinsart / Herkunft: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/ Durchscheinend: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 g. Natursteinbelag in der vorhandenen Fugenbreite von 1 bis 10 mm mit einem zementgebundenem, hydraulisch schnell erhärtendem und trocknendem (ARDURAPID Plus Effekt), lange waschbarem, kunststoffvergütetem und sehr emissionsarmen (EMICODE EC 1 PLUS R) Flex-Fugenmörtel der Güte CG2 WA gemäß DIN 13888 mit guter Flankenhaftung und erhöhter Farbstabilität. Durch den ARDURAPID Plus Effekt werden Farbveränderungen des Natursteins im Randbereich verhindert.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3 Stunden begehbar.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G10 PREMIUM Flex-Fugenmörtel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4" w:name="LT_123318"/>
      <w:bookmarkEnd w:id="14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p>
      <w:pPr>
        <w:pStyle w:val="[Normal]"/>
        <w:spacing w:before="24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Übertrag: ....................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rPr>
          <w:sz w:val="2"/>
          <w:lang w:val="de-DE" w:eastAsia="de-DE" w:bidi="de-DE"/>
        </w:rPr>
      </w:pP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5" name="_tx_id_1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14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G10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Übertrag: ....................</w:t>
            </w: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 Produkt G10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11419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6" name="_tx_id_1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15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RG 12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Verfugen von keramischen Fliesen mit epoxidharzgebundenem Fugenmörtel mit hoher Beständigkeit gegen chemische Einwirkungen durch Reinigungsmittel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Fliesenfabrikat: 	...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Fliesentyp: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Format:	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Fugentiefe / Breite:	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Füllen der Fugen in dem o.g. Fliesenbelag in der vorhandenen Fugenbreite bis 6 mm mit Epoxidharz-gebundenem, farbstabilem, chemikalienbeständigen und mechanisch hochbelastbaren, wasserfestem, frost- und witterungsbeständigem, leicht einfugbarem und waschbarem, sehr emissionsarmen (EMICODE EC 1 PLUS) Epoxidharzfugenmörtel der Güte RG gemäß DIN 13888. Nach Erhärtung dauerhaft beständig gegen mechanische Belastungen, aggressive Chemikalien, Tausalz, Hochdruckreiniger, hohe Temperaturen, Mineralöle und Reinigungsmittel.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Eck- Anschluss- und Belagdehnungsfugen sauber aussparen bzw. auskratzen.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12 Stunden mechanisch voll belastbar.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Nach 7 Tagen volle Chemikalienbeständigkeit.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Farbe Fugenmörtel: ...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RG 12 1-6 Epoxifuge fein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5" w:name="LT_123320"/>
      <w:bookmarkEnd w:id="15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 Produkt RG 12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4775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7" name="_tx_id_1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16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RG Cleaner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Nachreinigen der mit Epoxidharz verfugten Fläche mit Spezialreiniger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Abreinigen des Epoxidharz-Restschleier von Steingut-, Steinzeug- und Feinsteinzeugfliesen innerhalb von 24 Stunden nach der Verfugung mit Spezialreiniger zur Entfernung von Epoxidharzrückständen.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RG Cleaner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6" w:name="LT_123322"/>
      <w:bookmarkEnd w:id="16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m²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 Produkt RG Cleaner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8441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8" name="_tx_id_18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17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8782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8782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2829"/>
        <w:gridCol w:w="6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Position</w:t>
            </w:r>
          </w:p>
        </w:tc>
        <w:tc>
          <w:tcPr>
            <w:tcW w:w="11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282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Beschreibung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Menge</w:t>
            </w:r>
          </w:p>
        </w:tc>
        <w:tc>
          <w:tcPr>
            <w:tcW w:w="119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Einh</w:t>
            </w:r>
          </w:p>
        </w:tc>
        <w:tc>
          <w:tcPr>
            <w:tcW w:w="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EP</w:t>
            </w:r>
          </w:p>
        </w:tc>
        <w:tc>
          <w:tcPr>
            <w:tcW w:w="6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GP</w:t>
            </w:r>
          </w:p>
        </w:tc>
      </w:tr>
    </w:tbl>
    <w:tbl>
      <w:tblPr>
        <w:tblW w:w="0" w:type="auto"/>
        <w:jc w:val="left"/>
        <w:tblInd w:w="0" w:type="dxa"/>
        <w:tblBorders>
          <w:top w:val="single" w:sz="4" w:space="0" w:color="auto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36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Stufe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Produkt CA 20 P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Kleben und Eindichten von ...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Kleben und Eindichten von ...  im Innen- und Außenbereich auf dichten und saugfähigen Untergründen mit einem sehr emissionsarmen (EMICODE EC 1 R),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7" w:name="LT_123324"/>
      <w:bookmarkEnd w:id="17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Eindichten der Einbauelemente mit Pressflanschverbindung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Eindichten der Einbauteile mit Pressflanschverbindung durch aufbringen einer vollflächigen Verklebung zwischen den verschraubten Pressflanschen und der zugeschnittenen und eingelegten Dichtmanschette aus geeignetem Dichtbahn-Material mit einem sehr emissionsarmen (EMICODE EC 1 R),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SK 100 W TRICOM Dichtbahn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8" w:name="LT_123325"/>
      <w:bookmarkEnd w:id="18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St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7082"/>
        <w:gridCol w:w="1700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lang w:val="de-DE" w:eastAsia="de-DE" w:bidi="de-DE"/>
              </w:rPr>
              <w:t xml:space="preserve">Anschluss der Abdichtung an die Entwässerungsrinnen mit Montagedichtkleber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170"/>
        <w:ind w:left="1706" w:hanging="1706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2"/>
        <w:gridCol w:w="1700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2" w:type="dxa"/>
            <w:shd w:val="clear" w:color="auto" w:fill="auto"/>
            <w:vAlign w:val="top"/>
          </w:tcPr>
          <w:p>
            <w:pPr>
              <w:pStyle w:val="MPos"/>
              <w:rPr>
                <w:lang w:val="de-DE" w:eastAsia="de-DE" w:bidi="de-DE"/>
              </w:rPr>
            </w:pPr>
            <w:r>
              <w:rPr>
                <w:b w:val="off"/>
                <w:lang w:val="de-DE" w:eastAsia="de-DE" w:bidi="de-DE"/>
              </w:rPr>
              <w:t xml:space="preserve">Anschluss der Abdichtung an die Entwässerungsrinnen mit Montagedichtkleber mit einem sehr emissionsarmen (EMICODE EC 1 R), lösemittel- und wasserfreiem SMP-Montagekleber mit hoher Klebkraft. </w:t>
            </w:r>
          </w:p>
        </w:tc>
        <w:tc>
          <w:tcPr>
            <w:tcW w:w="1700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Produkt: 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ARDEX CA 20 P SMP-Montagekleber</w:t>
      </w:r>
    </w:p>
    <w:p>
      <w:pPr>
        <w:pStyle w:val="MPos"/>
        <w:tabs>
          <w:tab w:val="left" w:pos="2840"/>
          <w:tab w:val="left" w:pos="3974"/>
          <w:tab w:val="left" w:pos="5108"/>
          <w:tab w:val="left" w:pos="6242"/>
          <w:tab w:val="left" w:pos="7376"/>
          <w:tab w:val="left" w:pos="851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left" w:pos="0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spacing w:after="170"/>
        <w:ind w:left="1706" w:right="1984"/>
        <w:rPr>
          <w:b w:val="off"/>
          <w:lang w:val="de-DE" w:eastAsia="de-DE" w:bidi="de-DE"/>
        </w:rPr>
      </w:pPr>
      <w:r>
        <w:rPr>
          <w:b w:val="off"/>
          <w:lang w:val="de-DE" w:eastAsia="de-DE" w:bidi="de-DE"/>
        </w:rPr>
        <w:t xml:space="preserve">	oder gleichwertig     Fabrikat / Typ:  '........................................'</w:t>
      </w:r>
      <w:r>
        <w:rPr>
          <w:b w:val="off"/>
          <w:lang w:val="de-DE" w:eastAsia="de-DE" w:bidi="de-DE"/>
        </w:rPr>
      </w:r>
      <w:bookmarkStart w:id="19" w:name="LT_123326"/>
      <w:bookmarkEnd w:id="19"/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1"/>
        <w:gridCol w:w="1412"/>
        <w:gridCol w:w="119"/>
        <w:gridCol w:w="1015"/>
        <w:gridCol w:w="5"/>
        <w:gridCol w:w="1695"/>
        <w:gridCol w:w="6"/>
        <w:gridCol w:w="1695"/>
      </w:tblGrid>
      <w:tr>
        <w:tc>
          <w:tcPr>
            <w:tcW w:w="454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412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0</w:t>
            </w:r>
          </w:p>
        </w:tc>
        <w:tc>
          <w:tcPr>
            <w:tcW w:w="11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m</w:t>
            </w:r>
          </w:p>
        </w:tc>
        <w:tc>
          <w:tcPr>
            <w:tcW w:w="5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sz w:val="20"/>
                <w:lang w:val="de-DE" w:eastAsia="de-DE" w:bidi="de-DE"/>
              </w:rPr>
            </w:pPr>
            <w:r>
              <w:rPr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 Produkt CA 20 P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 Produktgruppe 7 Fugenmörtel / Fugendichtstoffe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110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pageBreakBefore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5375"/>
        <w:gridCol w:w="3810"/>
        <w:gridCol w:w="1575"/>
      </w:tblGrid>
      <w:tr>
        <w:tc>
          <w:tcPr>
            <w:tcW w:w="53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8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lang w:val="de-DE" w:eastAsia="de-DE" w:bidi="de-DE"/>
              </w:rPr>
              <w:t xml:space="preserve">ARDEX GmbH</w:t>
            </w:r>
          </w:p>
        </w:tc>
        <w:tc>
          <w:tcPr>
            <w:tcW w:w="3810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2"/>
                <w:lang w:val="de-DE" w:eastAsia="de-DE" w:bidi="de-DE"/>
              </w:rPr>
            </w:pPr>
          </w:p>
        </w:tc>
        <w:tc>
          <w:tcPr>
            <w:tcW w:w="1575" w:type="dxa"/>
            <w:tcBorders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4"/>
                <w:lang w:val="de-DE" w:eastAsia="de-DE" w:bidi="de-DE"/>
              </w:rPr>
            </w:pPr>
          </w:p>
          <w:p>
            <w:pPr>
              <w:pStyle w:val="[Normal]"/>
              <w:tabs>
                <w:tab w:val="left" w:pos="4544"/>
                <w:tab w:val="left" w:pos="5254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right"/>
              <w:rPr>
                <w:b/>
                <w:sz w:val="22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drawing>
                <wp:inline distT="0" distB="0" distL="0" distR="0">
                  <wp:extent cx="819785" cy="521335"/>
                  <wp:docPr id="19" name="_tx_id_19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Move="1" noResize="1"/>
                          </pic:cNvPicPr>
                        </pic:nvPicPr>
                        <pic:blipFill>
                          <a:blip r:embed="rId00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lang w:val="de-DE" w:eastAsia="de-DE" w:bidi="de-DE"/>
              </w:rPr>
              <w:t xml:space="preserve"> </w:t>
            </w: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tcBorders>
              <w:top w:val="nil"/>
              <w:bottom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6"/>
        <w:gridCol w:w="11"/>
        <w:gridCol w:w="5380"/>
        <w:gridCol w:w="6"/>
        <w:gridCol w:w="2546"/>
      </w:tblGrid>
      <w:tr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04.02.2020</w:t>
            </w:r>
          </w:p>
        </w:tc>
        <w:tc>
          <w:tcPr>
            <w:tcW w:w="11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5380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color w:val="FFFFFF"/>
                <w:sz w:val="20"/>
                <w:lang w:val="de-DE" w:eastAsia="de-DE" w:bidi="de-DE"/>
              </w:rPr>
            </w:pPr>
            <w:r>
              <w:rPr>
                <w:b/>
                <w:color w:val="FFFFFF"/>
                <w:sz w:val="20"/>
                <w:lang w:val="de-DE" w:eastAsia="de-DE" w:bidi="de-DE"/>
              </w:rPr>
              <w:t xml:space="preserve">Leistungsverzeichnis Blankett</w:t>
            </w:r>
          </w:p>
        </w:tc>
        <w:tc>
          <w:tcPr>
            <w:tcW w:w="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rPr>
                <w:sz w:val="16"/>
                <w:lang w:val="de-DE" w:eastAsia="de-DE" w:bidi="de-DE"/>
              </w:rPr>
            </w:pPr>
          </w:p>
        </w:tc>
        <w:tc>
          <w:tcPr>
            <w:tcW w:w="2546" w:type="dxa"/>
            <w:tcBorders>
              <w:top w:val="nil"/>
            </w:tcBorders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16"/>
                <w:lang w:val="de-DE" w:eastAsia="de-DE" w:bidi="de-DE"/>
              </w:rPr>
            </w:pPr>
            <w:r>
              <w:rPr>
                <w:b/>
                <w:sz w:val="16"/>
                <w:lang w:val="de-DE" w:eastAsia="de-DE" w:bidi="de-DE"/>
              </w:rPr>
              <w:t xml:space="preserve">Seite 18 / 18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c>
          <w:tcPr>
            <w:tcW w:w="10483" w:type="dxa"/>
            <w:tcBorders>
              <w:top w:val="single" w:sz="4" w:space="0" w:color="auto"/>
            </w:tcBorders>
            <w:shd w:val="clear" w:color="auto" w:fill="auto"/>
            <w:tcMar>
              <w:top w:w="36" w:type="dxa"/>
            </w:tcMar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rPr>
          <w:b/>
          <w:sz w:val="2"/>
          <w:lang w:val="de-DE" w:eastAsia="de-DE" w:bidi="de-DE"/>
        </w:rPr>
      </w:pPr>
      <w:r>
        <w:rPr>
          <w:b/>
          <w:sz w:val="2"/>
          <w:lang w:val="de-DE" w:eastAsia="de-DE" w:bidi="de-DE"/>
        </w:rPr>
        <w:t xml:space="preserve">   </w:t>
      </w:r>
    </w:p>
    <w:p>
      <w:pPr>
        <w:pStyle w:val="[Normal]"/>
        <w:spacing w:after="56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4"/>
        <w:gridCol w:w="4"/>
      </w:tblGrid>
      <w:tr>
        <w:tc>
          <w:tcPr>
            <w:tcW w:w="10484" w:type="dxa"/>
            <w:shd w:val="clear" w:color="auto" w:fill="auto"/>
            <w:vAlign w:val="top"/>
          </w:tcPr>
          <w:p>
            <w:pPr>
              <w:pStyle w:val="[Normal]"/>
              <w:jc w:val="center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Zusammenstellung</w:t>
            </w:r>
          </w:p>
        </w:tc>
        <w:tc>
          <w:tcPr>
            <w:tcW w:w="4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FK NEU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GK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SE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SN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ST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WA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7.8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G4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7.9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G5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7.10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G6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7.11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G7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7.12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G8 S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7.13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G9 S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7.14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G10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7.15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RG 12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7.16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RG Cleaner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027"/>
        <w:gridCol w:w="1696"/>
        <w:gridCol w:w="339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7.17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 CA 20 P</w:t>
            </w:r>
          </w:p>
        </w:tc>
        <w:tc>
          <w:tcPr>
            <w:tcW w:w="102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6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  <w:tc>
          <w:tcPr>
            <w:tcW w:w="339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"/>
        <w:gridCol w:w="5720"/>
        <w:gridCol w:w="1367"/>
        <w:gridCol w:w="1695"/>
      </w:tblGrid>
      <w:tr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7</w:t>
            </w:r>
          </w:p>
        </w:tc>
        <w:tc>
          <w:tcPr>
            <w:tcW w:w="11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5720" w:type="dxa"/>
            <w:shd w:val="clear" w:color="auto" w:fill="auto"/>
            <w:vAlign w:val="top"/>
          </w:tcPr>
          <w:p>
            <w:pPr>
              <w:pStyle w:val="[Normal]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Produktgruppe 7 Fugenmörtel / Fugendichtstoffe</w:t>
            </w:r>
          </w:p>
        </w:tc>
        <w:tc>
          <w:tcPr>
            <w:tcW w:w="1367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Summe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....................</w:t>
            </w:r>
          </w:p>
        </w:tc>
      </w:tr>
    </w:tbl>
    <w:p>
      <w:pPr>
        <w:pStyle w:val="[Normal]"/>
        <w:spacing w:after="11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zzgl. MwSt  ......... %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6"/>
        <w:gridCol w:w="7081"/>
        <w:gridCol w:w="6"/>
        <w:gridCol w:w="1695"/>
      </w:tblGrid>
      <w:tr>
        <w:tc>
          <w:tcPr>
            <w:tcW w:w="170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7081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  <w:r>
              <w:rPr>
                <w:b/>
                <w:sz w:val="20"/>
                <w:lang w:val="de-DE" w:eastAsia="de-DE" w:bidi="de-DE"/>
              </w:rPr>
              <w:t xml:space="preserve">Gesamtsumme</w:t>
            </w:r>
          </w:p>
        </w:tc>
        <w:tc>
          <w:tcPr>
            <w:tcW w:w="6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1695" w:type="dxa"/>
            <w:shd w:val="clear" w:color="auto" w:fill="auto"/>
            <w:tcMar>
              <w:left w:w="169" w:type="dxa"/>
            </w:tcMar>
            <w:vAlign w:val="top"/>
          </w:tcPr>
          <w:p>
            <w:pPr>
              <w:pStyle w:val="[Normal]"/>
              <w:tabs>
                <w:tab w:val="right" w:pos="1526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rPr>
                <w:b/>
                <w:sz w:val="20"/>
                <w:u w:val="single"/>
                <w:lang w:val="de-DE" w:eastAsia="de-DE" w:bidi="de-DE"/>
              </w:rPr>
            </w:pPr>
            <w:r>
              <w:rPr>
                <w:b/>
                <w:sz w:val="20"/>
                <w:u w:val="single"/>
                <w:lang w:val="de-DE" w:eastAsia="de-DE" w:bidi="de-DE"/>
              </w:rPr>
              <w:t xml:space="preserve">	....................</w:t>
            </w:r>
          </w:p>
        </w:tc>
      </w:tr>
    </w:tbl>
    <w:p>
      <w:pPr>
        <w:pStyle w:val="[Normal]"/>
        <w:spacing w:after="283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before="4279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spacing w:after="170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8"/>
        <w:gridCol w:w="4530"/>
      </w:tblGrid>
      <w:tr>
        <w:tc>
          <w:tcPr>
            <w:tcW w:w="5958" w:type="dxa"/>
            <w:shd w:val="clear" w:color="auto" w:fill="auto"/>
            <w:vAlign w:val="top"/>
          </w:tcPr>
          <w:p>
            <w:pPr>
              <w:pStyle w:val="[Normal]"/>
              <w:rPr>
                <w:sz w:val="20"/>
                <w:lang w:val="de-DE" w:eastAsia="de-DE" w:bidi="de-DE"/>
              </w:rPr>
            </w:pPr>
          </w:p>
        </w:tc>
        <w:tc>
          <w:tcPr>
            <w:tcW w:w="4530" w:type="dxa"/>
            <w:shd w:val="clear" w:color="auto" w:fill="auto"/>
            <w:vAlign w:val="top"/>
          </w:tcPr>
          <w:p>
            <w:pPr>
              <w:pStyle w:val="[Normal]"/>
              <w:jc w:val="right"/>
              <w:rPr>
                <w:b/>
                <w:sz w:val="20"/>
                <w:lang w:val="de-DE" w:eastAsia="de-DE" w:bidi="de-DE"/>
              </w:rPr>
            </w:pP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single" w:sz="2" w:space="0" w:color="auto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36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[Normal]"/>
              <w:rPr>
                <w:sz w:val="6"/>
                <w:lang w:val="de-DE" w:eastAsia="de-DE" w:bidi="de-DE"/>
              </w:rPr>
            </w:pPr>
            <w:r>
              <w:rPr>
                <w:sz w:val="6"/>
                <w:lang w:val="de-DE" w:eastAsia="de-DE" w:bidi="de-D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>
      <w:pPr>
        <w:pStyle w:val="[Normal]"/>
        <w:spacing w:after="57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</w:t>
      </w:r>
    </w:p>
    <w:tbl>
      <w:tblPr>
        <w:tblW w:w="0" w:type="auto"/>
        <w:jc w:val="left"/>
        <w:tblInd w:w="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3"/>
      </w:tblGrid>
      <w:tr>
        <w:tc>
          <w:tcPr>
            <w:tcW w:w="10483" w:type="dxa"/>
            <w:shd w:val="clear" w:color="auto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ARDEX GmbH, Friedrich-Ebert-Straße 45, D-58453 Witten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Style w:val="Hyperlink"/>
                <w:rFonts w:ascii="Arial" w:hAnsi="Arial" w:eastAsia="Arial" w:cs="Arial"/>
                <w:color w:val="auto"/>
                <w:sz w:val="13"/>
                <w:u w:val="none"/>
                <w:lang w:val="de-DE" w:eastAsia="de-DE" w:bidi="de-DE"/>
              </w:rPr>
            </w:pP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Tel.: +49(0)2302 664-617, Fax: (0)2302 664-375,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kundendienst@ardex.de</w:t>
            </w:r>
            <w:r>
              <w:rPr>
                <w:rFonts w:ascii="Arial" w:hAnsi="Arial" w:eastAsia="Arial" w:cs="Arial"/>
                <w:color w:val="393C39"/>
                <w:sz w:val="13"/>
                <w:lang w:val="de-DE" w:eastAsia="de-DE" w:bidi="de-DE"/>
              </w:rPr>
              <w:t xml:space="preserve">, </w:t>
            </w:r>
            <w:r>
              <w:rPr>
                <w:rStyle w:val="Hyperlink"/>
                <w:rFonts w:ascii="Arial" w:hAnsi="Arial" w:eastAsia="Arial" w:cs="Arial"/>
                <w:color w:val="393C39"/>
                <w:sz w:val="13"/>
                <w:u w:val="none"/>
                <w:lang w:val="de-DE" w:eastAsia="de-DE" w:bidi="de-DE"/>
              </w:rPr>
              <w:t xml:space="preserve">www.ardex.de</w:t>
            </w:r>
          </w:p>
          <w:p>
            <w:pPr>
              <w:pStyle w:val="[Normal]"/>
              <w:rPr>
                <w:sz w:val="2"/>
                <w:lang w:val="de-DE" w:eastAsia="de-DE" w:bidi="de-DE"/>
              </w:rPr>
            </w:pPr>
          </w:p>
        </w:tc>
      </w:tr>
    </w:tbl>
    <w:p>
      <w:pPr>
        <w:pStyle w:val="[Normal]"/>
        <w:rPr>
          <w:sz w:val="2"/>
          <w:lang w:val="de-DE" w:eastAsia="de-DE" w:bidi="de-DE"/>
        </w:rPr>
      </w:pPr>
      <w:r>
        <w:rPr>
          <w:sz w:val="2"/>
          <w:lang w:val="de-DE" w:eastAsia="de-DE" w:bidi="de-DE"/>
        </w:rPr>
        <w:t xml:space="preserve">   </w:t>
      </w:r>
    </w:p>
    <w:p>
      <w:pPr>
        <w:pStyle w:val="[Normal]"/>
        <w:rPr>
          <w:sz w:val="2"/>
          <w:lang w:val="de-DE" w:eastAsia="de-DE" w:bidi="de-DE"/>
        </w:rPr>
      </w:pPr>
    </w:p>
    <w:sectPr>
      <w:pgSz w:w="11906" w:h="16838"/>
      <w:pgMar w:top="567" w:right="283" w:bottom="567" w:left="850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NewsGotT">
    <w:charset w:val="00"/>
    <w:family w:val="auto"/>
    <w:pitch w:val="variable"/>
  </w:font>
</w:fonts>
</file>

<file path=word/settings.xml><?xml version="1.0" encoding="utf-8"?>
<w:settings xmlns:w="http://schemas.openxmlformats.org/wordprocessingml/2006/main" xmlns:mc="http://schemas.openxmlformats.org/markup-compatibility/2006" xmlns:tx24="http://schemas.textcontrol.com/tx/2400" xmlns:tx25="http://schemas.textcontrol.com/tx/2500" mc:Ignorable="tx24 tx25">
  <w:bordersDoNotSurroundHeader/>
  <w:bordersDoNotSurroundFooter/>
  <w:defaultTabStop w:val="1134"/>
  <w:compat>
    <w:noExtraLineSpacing/>
  </w:compat>
  <tx24:txVer tx24:val="25.0.321.50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style w:type="paragraph" w:styleId="[Normal]" w:default="1">
    <w:name w:val="[Normal]"/>
    <w:next w:val="[Normal]"/>
    <w:qFormat/>
    <w:pPr>
      <w:widowControl w:val="off"/>
      <w:shd w:val="clear" w:color="auto" w:fill="auto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 w:cs="Arial"/>
      <w:b w:val="off"/>
      <w:bCs w:val="off"/>
      <w:i w:val="off"/>
      <w:iCs w:val="off"/>
      <w:strike w:val="off"/>
      <w:color w:val="auto"/>
      <w:position w:val="0"/>
      <w:sz w:val="24"/>
      <w:szCs w:val="24"/>
      <w:shd w:val="clear" w:color="auto" w:fill="auto"/>
      <w:rtl w:val="off"/>
      <w:lang w:val="x-none" w:eastAsia="x-none" w:bidi="x-none"/>
    </w:rPr>
  </w:style>
  <w:style w:type="paragraph" w:styleId="Normal">
    <w:name w:val="Normal"/>
    <w:next w:val="Normal"/>
    <w:qFormat/>
    <w:pPr>
      <w:widowControl w:val="off"/>
      <w:shd w:val="clear" w:color="auto" w:fill="auto"/>
      <w:spacing w:before="0" w:after="0" w:line="240" w:lineRule="auto"/>
      <w:ind w:left="0" w:right="0" w:firstLine="0"/>
      <w:jc w:val="left"/>
    </w:pPr>
    <w:rPr>
      <w:rFonts w:ascii="NewsGotT" w:hAnsi="NewsGotT" w:eastAsia="NewsGotT" w:cs="NewsGotT"/>
      <w:b w:val="off"/>
      <w:bCs w:val="off"/>
      <w:i w:val="off"/>
      <w:iCs w:val="off"/>
      <w:strike w:val="off"/>
      <w:color w:val="auto"/>
      <w:position w:val="0"/>
      <w:sz w:val="24"/>
      <w:szCs w:val="24"/>
      <w:shd w:val="clear" w:color="auto" w:fill="auto"/>
      <w:rtl w:val="off"/>
      <w:lang w:val="x-none" w:eastAsia="x-none" w:bidi="x-none"/>
    </w:rPr>
  </w:style>
  <w:style w:type="character" w:styleId="Hyperlink">
    <w:name w:val="Hyperlink"/>
    <w:qFormat/>
    <w:rPr>
      <w:color w:val="0000FF"/>
      <w:u w:val="single"/>
      <w:rtl w:val="off"/>
      <w:lang w:val="x-none" w:eastAsia="x-none" w:bidi="x-none"/>
    </w:rPr>
  </w:style>
  <w:style w:type="paragraph" w:styleId="Stufe">
    <w:name w:val="Stufe"/>
    <w:basedOn w:val="[Normal]"/>
    <w:next w:val="Stufe"/>
    <w:qFormat/>
    <w:pPr/>
    <w:rPr>
      <w:b/>
      <w:bCs/>
      <w:sz w:val="20"/>
      <w:szCs w:val="20"/>
    </w:rPr>
  </w:style>
  <w:style w:type="paragraph" w:styleId="MPos">
    <w:name w:val="MPos"/>
    <w:basedOn w:val="[Normal]"/>
    <w:next w:val="MPos"/>
    <w:qFormat/>
    <w:pPr/>
    <w:rPr>
      <w:b/>
      <w:bCs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
	<Relationship Id="rId00002" Type="http://schemas.openxmlformats.org/officeDocument/2006/relationships/styles" Target="styles.xml"/>
	<Relationship Id="rId00003" Type="http://schemas.openxmlformats.org/officeDocument/2006/relationships/image" Target="media/image0001.jpg"/>
	<Relationship Id="rId00004" Type="http://schemas.openxmlformats.org/officeDocument/2006/relationships/image" Target="media/image0002.jpg"/>
	<Relationship Id="rId00005" Type="http://schemas.openxmlformats.org/officeDocument/2006/relationships/image" Target="media/image0003.jpg"/>
	<Relationship Id="rId00006" Type="http://schemas.openxmlformats.org/officeDocument/2006/relationships/image" Target="media/image0004.jpg"/>
	<Relationship Id="rId00007" Type="http://schemas.openxmlformats.org/officeDocument/2006/relationships/image" Target="media/image0005.jpg"/>
	<Relationship Id="rId00008" Type="http://schemas.openxmlformats.org/officeDocument/2006/relationships/image" Target="media/image0006.jpg"/>
	<Relationship Id="rId00009" Type="http://schemas.openxmlformats.org/officeDocument/2006/relationships/image" Target="media/image0007.jpg"/>
	<Relationship Id="rId00010" Type="http://schemas.openxmlformats.org/officeDocument/2006/relationships/image" Target="media/image0008.jpg"/>
	<Relationship Id="rId00011" Type="http://schemas.openxmlformats.org/officeDocument/2006/relationships/image" Target="media/image0009.jpg"/>
	<Relationship Id="rId00012" Type="http://schemas.openxmlformats.org/officeDocument/2006/relationships/image" Target="media/image0010.jpg"/>
	<Relationship Id="rId00013" Type="http://schemas.openxmlformats.org/officeDocument/2006/relationships/image" Target="media/image0011.jpg"/>
	<Relationship Id="rId00014" Type="http://schemas.openxmlformats.org/officeDocument/2006/relationships/image" Target="media/image0012.jpg"/>
	<Relationship Id="rId00015" Type="http://schemas.openxmlformats.org/officeDocument/2006/relationships/image" Target="media/image0013.jpg"/>
	<Relationship Id="rId00016" Type="http://schemas.openxmlformats.org/officeDocument/2006/relationships/image" Target="media/image0014.jpg"/>
	<Relationship Id="rId00017" Type="http://schemas.openxmlformats.org/officeDocument/2006/relationships/image" Target="media/image0015.jpg"/>
	<Relationship Id="rId00018" Type="http://schemas.openxmlformats.org/officeDocument/2006/relationships/image" Target="media/image0016.jpg"/>
	<Relationship Id="rId00019" Type="http://schemas.openxmlformats.org/officeDocument/2006/relationships/image" Target="media/image0017.jpg"/>
	<Relationship Id="rId00020" Type="http://schemas.openxmlformats.org/officeDocument/2006/relationships/image" Target="media/image0018.jpg"/>
	<Relationship Id="rId00021" Type="http://schemas.openxmlformats.org/officeDocument/2006/relationships/image" Target="media/image0019.jpg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
</file>